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4"/>
        </w:rPr>
      </w:pPr>
    </w:p>
    <w:p>
      <w:pPr>
        <w:jc w:val="center"/>
        <w:rPr>
          <w:b/>
          <w:sz w:val="48"/>
          <w:szCs w:val="44"/>
        </w:rPr>
      </w:pPr>
      <w:r>
        <w:rPr>
          <w:rFonts w:hint="eastAsia"/>
          <w:b/>
          <w:sz w:val="48"/>
          <w:szCs w:val="44"/>
        </w:rPr>
        <w:t>蚌埠</w:t>
      </w:r>
      <w:r>
        <w:rPr>
          <w:rFonts w:hint="eastAsia"/>
          <w:b/>
          <w:sz w:val="48"/>
          <w:szCs w:val="44"/>
          <w:lang w:val="en-US" w:eastAsia="zh-CN"/>
        </w:rPr>
        <w:t>市中医医院住院综合楼项目</w:t>
      </w:r>
      <w:r>
        <w:rPr>
          <w:rFonts w:hint="eastAsia"/>
          <w:b/>
          <w:sz w:val="48"/>
          <w:szCs w:val="44"/>
        </w:rPr>
        <w:t>造价咨询服务</w:t>
      </w:r>
    </w:p>
    <w:p>
      <w:pPr>
        <w:jc w:val="center"/>
        <w:rPr>
          <w:sz w:val="44"/>
          <w:szCs w:val="44"/>
        </w:rPr>
      </w:pPr>
    </w:p>
    <w:p>
      <w:pPr>
        <w:rPr>
          <w:sz w:val="44"/>
          <w:szCs w:val="44"/>
        </w:rPr>
      </w:pPr>
    </w:p>
    <w:p>
      <w:pPr>
        <w:jc w:val="center"/>
        <w:rPr>
          <w:sz w:val="84"/>
          <w:szCs w:val="84"/>
        </w:rPr>
      </w:pPr>
      <w:r>
        <w:rPr>
          <w:rFonts w:hint="eastAsia"/>
          <w:sz w:val="84"/>
          <w:szCs w:val="84"/>
        </w:rPr>
        <w:t>询比文件</w:t>
      </w:r>
    </w:p>
    <w:p>
      <w:pPr>
        <w:jc w:val="center"/>
        <w:rPr>
          <w:sz w:val="30"/>
          <w:szCs w:val="30"/>
        </w:rPr>
      </w:pPr>
    </w:p>
    <w:p>
      <w:pPr>
        <w:jc w:val="center"/>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center"/>
        <w:rPr>
          <w:rFonts w:hint="default" w:eastAsiaTheme="minorEastAsia"/>
          <w:sz w:val="30"/>
          <w:szCs w:val="30"/>
          <w:lang w:val="en-US" w:eastAsia="zh-CN"/>
        </w:rPr>
      </w:pPr>
      <w:r>
        <w:rPr>
          <w:rFonts w:hint="eastAsia"/>
          <w:sz w:val="30"/>
          <w:szCs w:val="30"/>
        </w:rPr>
        <w:t>采购人：蚌埠市</w:t>
      </w:r>
      <w:r>
        <w:rPr>
          <w:rFonts w:hint="eastAsia"/>
          <w:sz w:val="30"/>
          <w:szCs w:val="30"/>
          <w:lang w:val="en-US" w:eastAsia="zh-CN"/>
        </w:rPr>
        <w:t>中医医院</w:t>
      </w:r>
    </w:p>
    <w:p>
      <w:pPr>
        <w:jc w:val="center"/>
        <w:rPr>
          <w:sz w:val="30"/>
          <w:szCs w:val="30"/>
        </w:rPr>
      </w:pPr>
      <w:r>
        <w:rPr>
          <w:rFonts w:hint="eastAsia"/>
          <w:sz w:val="30"/>
          <w:szCs w:val="30"/>
        </w:rPr>
        <w:t>编制时间：202</w:t>
      </w:r>
      <w:r>
        <w:rPr>
          <w:rFonts w:hint="eastAsia"/>
          <w:sz w:val="30"/>
          <w:szCs w:val="30"/>
          <w:lang w:val="en-US" w:eastAsia="zh-CN"/>
        </w:rPr>
        <w:t>3</w:t>
      </w:r>
      <w:r>
        <w:rPr>
          <w:rFonts w:hint="eastAsia"/>
          <w:sz w:val="30"/>
          <w:szCs w:val="30"/>
        </w:rPr>
        <w:t>年</w:t>
      </w:r>
      <w:r>
        <w:rPr>
          <w:rFonts w:hint="eastAsia"/>
          <w:sz w:val="30"/>
          <w:szCs w:val="30"/>
          <w:lang w:val="en-US" w:eastAsia="zh-CN"/>
        </w:rPr>
        <w:t>6</w:t>
      </w:r>
      <w:r>
        <w:rPr>
          <w:rFonts w:hint="eastAsia"/>
          <w:sz w:val="30"/>
          <w:szCs w:val="30"/>
        </w:rPr>
        <w:t>月</w:t>
      </w:r>
    </w:p>
    <w:p>
      <w:pPr>
        <w:jc w:val="left"/>
        <w:rPr>
          <w:sz w:val="30"/>
          <w:szCs w:val="30"/>
        </w:rPr>
      </w:pPr>
    </w:p>
    <w:p>
      <w:pPr>
        <w:jc w:val="center"/>
        <w:rPr>
          <w:rFonts w:hint="eastAsia"/>
          <w:b/>
          <w:sz w:val="36"/>
          <w:szCs w:val="36"/>
        </w:rPr>
      </w:pPr>
    </w:p>
    <w:p>
      <w:pPr>
        <w:jc w:val="center"/>
        <w:rPr>
          <w:b/>
          <w:sz w:val="36"/>
          <w:szCs w:val="36"/>
        </w:rPr>
      </w:pPr>
      <w:r>
        <w:rPr>
          <w:rFonts w:hint="eastAsia"/>
          <w:b/>
          <w:sz w:val="36"/>
          <w:szCs w:val="36"/>
        </w:rPr>
        <w:t>目录</w:t>
      </w:r>
    </w:p>
    <w:p>
      <w:pPr>
        <w:jc w:val="center"/>
        <w:rPr>
          <w:b/>
          <w:sz w:val="36"/>
          <w:szCs w:val="36"/>
        </w:rPr>
      </w:pPr>
    </w:p>
    <w:p>
      <w:pPr>
        <w:pStyle w:val="4"/>
        <w:tabs>
          <w:tab w:val="right" w:leader="dot" w:pos="8296"/>
        </w:tabs>
        <w:rPr>
          <w:sz w:val="32"/>
        </w:rPr>
      </w:pPr>
      <w:r>
        <w:rPr>
          <w:sz w:val="44"/>
          <w:szCs w:val="30"/>
        </w:rPr>
        <w:fldChar w:fldCharType="begin"/>
      </w:r>
      <w:r>
        <w:rPr>
          <w:rFonts w:hint="eastAsia"/>
          <w:sz w:val="44"/>
          <w:szCs w:val="30"/>
        </w:rPr>
        <w:instrText xml:space="preserve">TOC \o "1-1" \h \z \u</w:instrText>
      </w:r>
      <w:r>
        <w:rPr>
          <w:sz w:val="44"/>
          <w:szCs w:val="30"/>
        </w:rPr>
        <w:fldChar w:fldCharType="separate"/>
      </w:r>
      <w:r>
        <w:fldChar w:fldCharType="begin"/>
      </w:r>
      <w:r>
        <w:instrText xml:space="preserve"> HYPERLINK \l "_Toc118998699" </w:instrText>
      </w:r>
      <w:r>
        <w:fldChar w:fldCharType="separate"/>
      </w:r>
      <w:r>
        <w:rPr>
          <w:rStyle w:val="8"/>
          <w:rFonts w:hint="eastAsia" w:ascii="宋体" w:hAnsi="宋体"/>
          <w:b/>
          <w:sz w:val="32"/>
        </w:rPr>
        <w:t>第一章询比公告</w:t>
      </w:r>
      <w:r>
        <w:rPr>
          <w:sz w:val="32"/>
        </w:rPr>
        <w:tab/>
      </w:r>
      <w:r>
        <w:rPr>
          <w:sz w:val="32"/>
        </w:rPr>
        <w:fldChar w:fldCharType="begin"/>
      </w:r>
      <w:r>
        <w:rPr>
          <w:sz w:val="32"/>
        </w:rPr>
        <w:instrText xml:space="preserve"> PAGEREF _Toc118998699 \h </w:instrText>
      </w:r>
      <w:r>
        <w:rPr>
          <w:sz w:val="32"/>
        </w:rPr>
        <w:fldChar w:fldCharType="separate"/>
      </w:r>
      <w:r>
        <w:rPr>
          <w:sz w:val="32"/>
        </w:rPr>
        <w:t>3</w:t>
      </w:r>
      <w:r>
        <w:rPr>
          <w:sz w:val="32"/>
        </w:rPr>
        <w:fldChar w:fldCharType="end"/>
      </w:r>
      <w:r>
        <w:rPr>
          <w:sz w:val="32"/>
        </w:rPr>
        <w:fldChar w:fldCharType="end"/>
      </w:r>
    </w:p>
    <w:p>
      <w:pPr>
        <w:pStyle w:val="4"/>
        <w:tabs>
          <w:tab w:val="right" w:leader="dot" w:pos="8296"/>
        </w:tabs>
        <w:rPr>
          <w:sz w:val="32"/>
        </w:rPr>
      </w:pPr>
      <w:r>
        <w:fldChar w:fldCharType="begin"/>
      </w:r>
      <w:r>
        <w:instrText xml:space="preserve"> HYPERLINK \l "_Toc118998700" </w:instrText>
      </w:r>
      <w:r>
        <w:fldChar w:fldCharType="separate"/>
      </w:r>
      <w:r>
        <w:rPr>
          <w:rStyle w:val="8"/>
          <w:rFonts w:hint="eastAsia" w:ascii="宋体" w:hAnsi="宋体" w:cs="宋体"/>
          <w:b/>
          <w:bCs/>
          <w:kern w:val="0"/>
          <w:sz w:val="32"/>
        </w:rPr>
        <w:t>第二章询比人须知</w:t>
      </w:r>
      <w:r>
        <w:rPr>
          <w:sz w:val="32"/>
        </w:rPr>
        <w:tab/>
      </w:r>
      <w:r>
        <w:rPr>
          <w:sz w:val="32"/>
        </w:rPr>
        <w:fldChar w:fldCharType="begin"/>
      </w:r>
      <w:r>
        <w:rPr>
          <w:sz w:val="32"/>
        </w:rPr>
        <w:instrText xml:space="preserve"> PAGEREF _Toc118998700 \h </w:instrText>
      </w:r>
      <w:r>
        <w:rPr>
          <w:sz w:val="32"/>
        </w:rPr>
        <w:fldChar w:fldCharType="separate"/>
      </w:r>
      <w:r>
        <w:rPr>
          <w:sz w:val="32"/>
        </w:rPr>
        <w:t>5</w:t>
      </w:r>
      <w:r>
        <w:rPr>
          <w:sz w:val="32"/>
        </w:rPr>
        <w:fldChar w:fldCharType="end"/>
      </w:r>
      <w:r>
        <w:rPr>
          <w:sz w:val="32"/>
        </w:rPr>
        <w:fldChar w:fldCharType="end"/>
      </w:r>
    </w:p>
    <w:p>
      <w:pPr>
        <w:pStyle w:val="4"/>
        <w:tabs>
          <w:tab w:val="right" w:leader="dot" w:pos="8296"/>
        </w:tabs>
        <w:rPr>
          <w:sz w:val="32"/>
        </w:rPr>
      </w:pPr>
      <w:r>
        <w:fldChar w:fldCharType="begin"/>
      </w:r>
      <w:r>
        <w:instrText xml:space="preserve"> HYPERLINK \l "_Toc118998701" </w:instrText>
      </w:r>
      <w:r>
        <w:fldChar w:fldCharType="separate"/>
      </w:r>
      <w:r>
        <w:rPr>
          <w:rStyle w:val="8"/>
          <w:rFonts w:hint="eastAsia" w:ascii="宋体" w:hAnsi="宋体" w:cs="宋体"/>
          <w:b/>
          <w:bCs/>
          <w:kern w:val="0"/>
          <w:sz w:val="32"/>
        </w:rPr>
        <w:t>第三章询比条件</w:t>
      </w:r>
      <w:r>
        <w:rPr>
          <w:sz w:val="32"/>
        </w:rPr>
        <w:tab/>
      </w:r>
      <w:r>
        <w:rPr>
          <w:sz w:val="32"/>
        </w:rPr>
        <w:fldChar w:fldCharType="begin"/>
      </w:r>
      <w:r>
        <w:rPr>
          <w:sz w:val="32"/>
        </w:rPr>
        <w:instrText xml:space="preserve"> PAGEREF _Toc118998701 \h </w:instrText>
      </w:r>
      <w:r>
        <w:rPr>
          <w:sz w:val="32"/>
        </w:rPr>
        <w:fldChar w:fldCharType="separate"/>
      </w:r>
      <w:r>
        <w:rPr>
          <w:sz w:val="32"/>
        </w:rPr>
        <w:t>7</w:t>
      </w:r>
      <w:r>
        <w:rPr>
          <w:sz w:val="32"/>
        </w:rPr>
        <w:fldChar w:fldCharType="end"/>
      </w:r>
      <w:r>
        <w:rPr>
          <w:sz w:val="32"/>
        </w:rPr>
        <w:fldChar w:fldCharType="end"/>
      </w:r>
    </w:p>
    <w:p>
      <w:pPr>
        <w:pStyle w:val="4"/>
        <w:tabs>
          <w:tab w:val="right" w:leader="dot" w:pos="8296"/>
        </w:tabs>
        <w:rPr>
          <w:sz w:val="32"/>
        </w:rPr>
      </w:pPr>
      <w:r>
        <w:fldChar w:fldCharType="begin"/>
      </w:r>
      <w:r>
        <w:instrText xml:space="preserve"> HYPERLINK \l "_Toc118998702" </w:instrText>
      </w:r>
      <w:r>
        <w:fldChar w:fldCharType="separate"/>
      </w:r>
      <w:r>
        <w:rPr>
          <w:rStyle w:val="8"/>
          <w:rFonts w:hint="eastAsia" w:ascii="宋体" w:hAnsi="宋体" w:cs="宋体"/>
          <w:b/>
          <w:bCs/>
          <w:kern w:val="0"/>
          <w:sz w:val="32"/>
        </w:rPr>
        <w:t>第四章评标办法</w:t>
      </w:r>
      <w:r>
        <w:rPr>
          <w:sz w:val="32"/>
        </w:rPr>
        <w:tab/>
      </w:r>
      <w:r>
        <w:rPr>
          <w:sz w:val="32"/>
        </w:rPr>
        <w:fldChar w:fldCharType="begin"/>
      </w:r>
      <w:r>
        <w:rPr>
          <w:sz w:val="32"/>
        </w:rPr>
        <w:instrText xml:space="preserve"> PAGEREF _Toc118998702 \h </w:instrText>
      </w:r>
      <w:r>
        <w:rPr>
          <w:sz w:val="32"/>
        </w:rPr>
        <w:fldChar w:fldCharType="separate"/>
      </w:r>
      <w:r>
        <w:rPr>
          <w:sz w:val="32"/>
        </w:rPr>
        <w:t>9</w:t>
      </w:r>
      <w:r>
        <w:rPr>
          <w:sz w:val="32"/>
        </w:rPr>
        <w:fldChar w:fldCharType="end"/>
      </w:r>
      <w:r>
        <w:rPr>
          <w:sz w:val="32"/>
        </w:rPr>
        <w:fldChar w:fldCharType="end"/>
      </w:r>
    </w:p>
    <w:p>
      <w:pPr>
        <w:pStyle w:val="4"/>
        <w:tabs>
          <w:tab w:val="right" w:leader="dot" w:pos="8296"/>
        </w:tabs>
        <w:rPr>
          <w:sz w:val="32"/>
        </w:rPr>
      </w:pPr>
      <w:r>
        <w:fldChar w:fldCharType="begin"/>
      </w:r>
      <w:r>
        <w:instrText xml:space="preserve"> HYPERLINK \l "_Toc118998703" </w:instrText>
      </w:r>
      <w:r>
        <w:fldChar w:fldCharType="separate"/>
      </w:r>
      <w:r>
        <w:rPr>
          <w:rStyle w:val="8"/>
          <w:rFonts w:hint="eastAsia" w:ascii="宋体" w:hAnsi="宋体" w:cs="宋体"/>
          <w:b/>
          <w:bCs/>
          <w:kern w:val="0"/>
          <w:sz w:val="32"/>
        </w:rPr>
        <w:t>第五章询比响应文件格式</w:t>
      </w:r>
      <w:r>
        <w:rPr>
          <w:sz w:val="32"/>
        </w:rPr>
        <w:tab/>
      </w:r>
      <w:r>
        <w:rPr>
          <w:sz w:val="32"/>
        </w:rPr>
        <w:fldChar w:fldCharType="begin"/>
      </w:r>
      <w:r>
        <w:rPr>
          <w:sz w:val="32"/>
        </w:rPr>
        <w:instrText xml:space="preserve"> PAGEREF _Toc118998703 \h </w:instrText>
      </w:r>
      <w:r>
        <w:rPr>
          <w:sz w:val="32"/>
        </w:rPr>
        <w:fldChar w:fldCharType="separate"/>
      </w:r>
      <w:r>
        <w:rPr>
          <w:sz w:val="32"/>
        </w:rPr>
        <w:t>15</w:t>
      </w:r>
      <w:r>
        <w:rPr>
          <w:sz w:val="32"/>
        </w:rPr>
        <w:fldChar w:fldCharType="end"/>
      </w:r>
      <w:r>
        <w:rPr>
          <w:sz w:val="32"/>
        </w:rPr>
        <w:fldChar w:fldCharType="end"/>
      </w:r>
    </w:p>
    <w:p>
      <w:pPr>
        <w:jc w:val="left"/>
        <w:rPr>
          <w:sz w:val="44"/>
          <w:szCs w:val="30"/>
        </w:rPr>
      </w:pPr>
      <w:r>
        <w:rPr>
          <w:sz w:val="44"/>
          <w:szCs w:val="30"/>
        </w:rPr>
        <w:fldChar w:fldCharType="end"/>
      </w:r>
    </w:p>
    <w:p>
      <w:pPr>
        <w:widowControl/>
        <w:jc w:val="left"/>
        <w:rPr>
          <w:rFonts w:ascii="宋体" w:hAnsi="宋体"/>
          <w:b/>
          <w:sz w:val="30"/>
          <w:szCs w:val="30"/>
        </w:rPr>
      </w:pPr>
      <w:r>
        <w:rPr>
          <w:rFonts w:ascii="宋体" w:hAnsi="宋体"/>
          <w:b/>
          <w:sz w:val="30"/>
          <w:szCs w:val="30"/>
        </w:rPr>
        <w:br w:type="page"/>
      </w:r>
    </w:p>
    <w:p>
      <w:pPr>
        <w:jc w:val="center"/>
        <w:outlineLvl w:val="0"/>
        <w:rPr>
          <w:rFonts w:ascii="宋体" w:hAnsi="宋体"/>
          <w:b/>
          <w:sz w:val="32"/>
          <w:szCs w:val="30"/>
        </w:rPr>
      </w:pPr>
      <w:bookmarkStart w:id="0" w:name="_Toc118998699"/>
      <w:r>
        <w:rPr>
          <w:rFonts w:hint="eastAsia" w:ascii="宋体" w:hAnsi="宋体"/>
          <w:b/>
          <w:sz w:val="32"/>
          <w:szCs w:val="30"/>
        </w:rPr>
        <w:t>第一章询比公告</w:t>
      </w:r>
      <w:bookmarkEnd w:id="0"/>
    </w:p>
    <w:p>
      <w:pPr>
        <w:jc w:val="left"/>
        <w:rPr>
          <w:rFonts w:ascii="宋体" w:hAnsi="宋体"/>
          <w:b/>
          <w:sz w:val="28"/>
          <w:szCs w:val="28"/>
        </w:rPr>
      </w:pPr>
      <w:r>
        <w:rPr>
          <w:rFonts w:hint="eastAsia" w:ascii="宋体" w:hAnsi="宋体"/>
          <w:b/>
          <w:sz w:val="28"/>
          <w:szCs w:val="28"/>
        </w:rPr>
        <w:t>1.采购条件</w:t>
      </w:r>
    </w:p>
    <w:p>
      <w:pPr>
        <w:ind w:firstLine="703" w:firstLineChars="250"/>
        <w:jc w:val="left"/>
        <w:rPr>
          <w:rFonts w:ascii="宋体" w:hAnsi="宋体"/>
          <w:sz w:val="28"/>
          <w:szCs w:val="28"/>
          <w:u w:val="single"/>
        </w:rPr>
      </w:pPr>
      <w:r>
        <w:rPr>
          <w:rFonts w:hint="eastAsia" w:ascii="宋体" w:hAnsi="宋体"/>
          <w:b/>
          <w:sz w:val="28"/>
          <w:szCs w:val="28"/>
        </w:rPr>
        <w:t>蚌埠</w:t>
      </w:r>
      <w:r>
        <w:rPr>
          <w:rFonts w:hint="eastAsia" w:ascii="宋体" w:hAnsi="宋体"/>
          <w:b/>
          <w:sz w:val="28"/>
          <w:szCs w:val="28"/>
          <w:lang w:val="en-US" w:eastAsia="zh-CN"/>
        </w:rPr>
        <w:t>市中医医院住院综合楼项目造价咨询服务</w:t>
      </w:r>
      <w:r>
        <w:rPr>
          <w:rFonts w:hint="eastAsia" w:ascii="宋体" w:hAnsi="宋体"/>
          <w:sz w:val="28"/>
          <w:szCs w:val="28"/>
        </w:rPr>
        <w:t>采购已经批准，采购人为蚌埠市</w:t>
      </w:r>
      <w:r>
        <w:rPr>
          <w:rFonts w:hint="eastAsia" w:ascii="宋体" w:hAnsi="宋体"/>
          <w:sz w:val="28"/>
          <w:szCs w:val="28"/>
          <w:lang w:val="en-US" w:eastAsia="zh-CN"/>
        </w:rPr>
        <w:t>中医医院</w:t>
      </w:r>
      <w:r>
        <w:rPr>
          <w:rFonts w:hint="eastAsia" w:ascii="宋体" w:hAnsi="宋体"/>
          <w:sz w:val="28"/>
          <w:szCs w:val="28"/>
        </w:rPr>
        <w:t>，项目资金为国有资金且已落实，</w:t>
      </w:r>
      <w:r>
        <w:rPr>
          <w:rFonts w:hint="eastAsia" w:ascii="宋体" w:hAnsi="宋体"/>
          <w:sz w:val="28"/>
          <w:szCs w:val="28"/>
          <w:lang w:val="en-US" w:eastAsia="zh-CN"/>
        </w:rPr>
        <w:t>对</w:t>
      </w:r>
      <w:r>
        <w:rPr>
          <w:rFonts w:hint="eastAsia" w:ascii="宋体" w:hAnsi="宋体"/>
          <w:sz w:val="28"/>
          <w:szCs w:val="28"/>
        </w:rPr>
        <w:t>本项目进行公开询比，现邀请符合条件的投标人参加本次询比活动。</w:t>
      </w:r>
    </w:p>
    <w:p>
      <w:pPr>
        <w:jc w:val="left"/>
        <w:rPr>
          <w:rFonts w:ascii="宋体" w:hAnsi="宋体"/>
          <w:b/>
          <w:sz w:val="28"/>
          <w:szCs w:val="28"/>
        </w:rPr>
      </w:pPr>
      <w:r>
        <w:rPr>
          <w:rFonts w:hint="eastAsia" w:ascii="宋体" w:hAnsi="宋体"/>
          <w:b/>
          <w:sz w:val="28"/>
          <w:szCs w:val="28"/>
        </w:rPr>
        <w:t>2.  项目概况与采购范围</w:t>
      </w:r>
    </w:p>
    <w:p>
      <w:pPr>
        <w:jc w:val="left"/>
        <w:rPr>
          <w:rFonts w:ascii="宋体" w:hAnsi="宋体"/>
          <w:sz w:val="28"/>
          <w:szCs w:val="28"/>
        </w:rPr>
      </w:pPr>
      <w:r>
        <w:rPr>
          <w:rFonts w:hint="eastAsia" w:ascii="宋体" w:hAnsi="宋体"/>
          <w:sz w:val="28"/>
          <w:szCs w:val="28"/>
        </w:rPr>
        <w:t>2.1  项目概况</w:t>
      </w:r>
    </w:p>
    <w:p>
      <w:pPr>
        <w:jc w:val="left"/>
        <w:rPr>
          <w:rFonts w:ascii="宋体" w:hAnsi="宋体"/>
          <w:sz w:val="28"/>
          <w:szCs w:val="28"/>
        </w:rPr>
      </w:pPr>
      <w:r>
        <w:rPr>
          <w:rFonts w:hint="eastAsia" w:ascii="宋体" w:hAnsi="宋体"/>
          <w:sz w:val="28"/>
          <w:szCs w:val="28"/>
        </w:rPr>
        <w:t>(1) 服务期：</w:t>
      </w:r>
      <w:r>
        <w:rPr>
          <w:rFonts w:hint="eastAsia" w:ascii="宋体" w:hAnsi="宋体"/>
          <w:sz w:val="28"/>
          <w:szCs w:val="28"/>
          <w:lang w:val="en-US" w:eastAsia="zh-CN"/>
        </w:rPr>
        <w:t>2</w:t>
      </w:r>
      <w:r>
        <w:rPr>
          <w:rFonts w:hint="eastAsia" w:ascii="宋体" w:hAnsi="宋体"/>
          <w:sz w:val="28"/>
          <w:szCs w:val="28"/>
        </w:rPr>
        <w:t>年；</w:t>
      </w:r>
    </w:p>
    <w:p>
      <w:pPr>
        <w:jc w:val="left"/>
        <w:rPr>
          <w:rFonts w:ascii="宋体" w:hAnsi="宋体"/>
          <w:sz w:val="28"/>
          <w:szCs w:val="28"/>
        </w:rPr>
      </w:pPr>
      <w:r>
        <w:rPr>
          <w:rFonts w:hint="eastAsia" w:ascii="宋体" w:hAnsi="宋体"/>
          <w:sz w:val="28"/>
          <w:szCs w:val="28"/>
        </w:rPr>
        <w:t>(2) 标段划分：不划分；</w:t>
      </w:r>
    </w:p>
    <w:p>
      <w:pPr>
        <w:ind w:left="2940" w:hanging="2940" w:hangingChars="1050"/>
        <w:jc w:val="left"/>
        <w:rPr>
          <w:rFonts w:ascii="宋体" w:hAnsi="宋体"/>
          <w:b w:val="0"/>
          <w:bCs/>
          <w:sz w:val="28"/>
          <w:szCs w:val="28"/>
        </w:rPr>
      </w:pPr>
      <w:r>
        <w:rPr>
          <w:rFonts w:hint="eastAsia" w:ascii="宋体" w:hAnsi="宋体"/>
          <w:sz w:val="28"/>
          <w:szCs w:val="28"/>
        </w:rPr>
        <w:t>(3) 采购内容：</w:t>
      </w:r>
      <w:r>
        <w:rPr>
          <w:rFonts w:hint="eastAsia" w:ascii="宋体" w:hAnsi="宋体"/>
          <w:b w:val="0"/>
          <w:bCs/>
          <w:sz w:val="28"/>
          <w:szCs w:val="28"/>
        </w:rPr>
        <w:t>蚌埠</w:t>
      </w:r>
      <w:r>
        <w:rPr>
          <w:rFonts w:hint="eastAsia" w:ascii="宋体" w:hAnsi="宋体"/>
          <w:b w:val="0"/>
          <w:bCs/>
          <w:sz w:val="28"/>
          <w:szCs w:val="28"/>
          <w:lang w:val="en-US" w:eastAsia="zh-CN"/>
        </w:rPr>
        <w:t>市中医医院住院综合楼项目造价咨询服务</w:t>
      </w:r>
    </w:p>
    <w:p>
      <w:pPr>
        <w:ind w:left="2660" w:hanging="2660" w:hangingChars="950"/>
        <w:jc w:val="left"/>
        <w:rPr>
          <w:rFonts w:ascii="宋体" w:hAnsi="宋体"/>
          <w:sz w:val="28"/>
          <w:szCs w:val="28"/>
        </w:rPr>
      </w:pPr>
      <w:r>
        <w:rPr>
          <w:rFonts w:hint="eastAsia" w:ascii="宋体" w:hAnsi="宋体"/>
          <w:sz w:val="28"/>
          <w:szCs w:val="28"/>
        </w:rPr>
        <w:t xml:space="preserve"> 2.2  采购范围：</w:t>
      </w:r>
    </w:p>
    <w:p>
      <w:pPr>
        <w:ind w:firstLine="560" w:firstLineChars="200"/>
        <w:jc w:val="left"/>
        <w:rPr>
          <w:rFonts w:ascii="宋体" w:hAnsi="宋体"/>
          <w:sz w:val="28"/>
          <w:szCs w:val="28"/>
        </w:rPr>
      </w:pPr>
      <w:r>
        <w:rPr>
          <w:rFonts w:hint="eastAsia" w:ascii="宋体" w:hAnsi="宋体"/>
          <w:sz w:val="28"/>
          <w:szCs w:val="28"/>
        </w:rPr>
        <w:t>拟公开招</w:t>
      </w:r>
      <w:r>
        <w:rPr>
          <w:rFonts w:hint="eastAsia" w:ascii="宋体" w:hAnsi="宋体"/>
          <w:color w:val="FF0000"/>
          <w:sz w:val="28"/>
          <w:szCs w:val="28"/>
          <w:lang w:val="en-US" w:eastAsia="zh-CN"/>
        </w:rPr>
        <w:t>3</w:t>
      </w:r>
      <w:r>
        <w:rPr>
          <w:rFonts w:hint="eastAsia" w:ascii="宋体" w:hAnsi="宋体"/>
          <w:sz w:val="28"/>
          <w:szCs w:val="28"/>
        </w:rPr>
        <w:t>家造价公司，负责零星项目的概、预算、结算审计等工作。服务内容包括但不限于：（1）对施工图或设计方案质量和深度的复核；（2） 拟应用于该项目的设备、材料清单和预算价、控制价的编制；（3）工程量清单和预算价、控制价的核对；（4）为建设单位合理使用资金提供技术支持与服务，服从市、区审计部门管理；（5）结算审计（6）结算审计公司还应包含对造价编制单位成果的复核。（7）建设单位要求的造价关联的其他咨询服务。</w:t>
      </w:r>
    </w:p>
    <w:p>
      <w:pPr>
        <w:jc w:val="left"/>
        <w:rPr>
          <w:rFonts w:ascii="宋体" w:hAnsi="宋体"/>
          <w:b/>
          <w:sz w:val="28"/>
          <w:szCs w:val="28"/>
        </w:rPr>
      </w:pPr>
      <w:r>
        <w:rPr>
          <w:rFonts w:hint="eastAsia" w:ascii="宋体" w:hAnsi="宋体"/>
          <w:b/>
          <w:sz w:val="28"/>
          <w:szCs w:val="28"/>
        </w:rPr>
        <w:t>3.询比人资格要求</w:t>
      </w:r>
    </w:p>
    <w:p>
      <w:pPr>
        <w:ind w:firstLine="560" w:firstLineChars="200"/>
        <w:jc w:val="left"/>
        <w:rPr>
          <w:rFonts w:ascii="宋体" w:hAnsi="宋体"/>
          <w:sz w:val="28"/>
          <w:szCs w:val="28"/>
        </w:rPr>
      </w:pPr>
      <w:r>
        <w:rPr>
          <w:rFonts w:hint="eastAsia" w:ascii="宋体" w:hAnsi="宋体"/>
          <w:sz w:val="28"/>
          <w:szCs w:val="28"/>
        </w:rPr>
        <w:t>3.1投标人须具有独立法人资格，具有有效的营业执照。</w:t>
      </w:r>
    </w:p>
    <w:p>
      <w:pPr>
        <w:ind w:firstLine="560" w:firstLineChars="200"/>
        <w:jc w:val="left"/>
        <w:rPr>
          <w:rFonts w:ascii="宋体" w:hAnsi="宋体"/>
          <w:sz w:val="28"/>
          <w:szCs w:val="28"/>
        </w:rPr>
      </w:pPr>
      <w:r>
        <w:rPr>
          <w:rFonts w:hint="eastAsia" w:ascii="宋体" w:hAnsi="宋体"/>
          <w:sz w:val="28"/>
          <w:szCs w:val="28"/>
        </w:rPr>
        <w:t>3.2具有相应的造价、审计能力，具备法律法规规定的执业资格。</w:t>
      </w:r>
    </w:p>
    <w:p>
      <w:pPr>
        <w:ind w:firstLine="560" w:firstLineChars="200"/>
        <w:jc w:val="left"/>
        <w:rPr>
          <w:rFonts w:ascii="宋体" w:hAnsi="宋体"/>
          <w:sz w:val="28"/>
          <w:szCs w:val="28"/>
        </w:rPr>
      </w:pPr>
      <w:r>
        <w:rPr>
          <w:rFonts w:hint="eastAsia" w:ascii="宋体" w:hAnsi="宋体"/>
          <w:sz w:val="28"/>
          <w:szCs w:val="28"/>
        </w:rPr>
        <w:t>3.3被各级招投标监管部门限制投标的企业不得参与本次投标。</w:t>
      </w:r>
    </w:p>
    <w:p>
      <w:pPr>
        <w:ind w:firstLine="560" w:firstLineChars="200"/>
        <w:jc w:val="left"/>
        <w:rPr>
          <w:rFonts w:ascii="宋体" w:hAnsi="宋体"/>
          <w:sz w:val="28"/>
          <w:szCs w:val="28"/>
        </w:rPr>
      </w:pPr>
      <w:r>
        <w:rPr>
          <w:rFonts w:hint="eastAsia" w:ascii="宋体" w:hAnsi="宋体"/>
          <w:sz w:val="28"/>
          <w:szCs w:val="28"/>
        </w:rPr>
        <w:t>3.4本次招标不接受联合体投标。</w:t>
      </w:r>
    </w:p>
    <w:p>
      <w:pPr>
        <w:ind w:firstLine="560" w:firstLineChars="200"/>
        <w:jc w:val="left"/>
        <w:rPr>
          <w:rFonts w:ascii="宋体" w:hAnsi="宋体"/>
          <w:sz w:val="28"/>
          <w:szCs w:val="28"/>
        </w:rPr>
      </w:pPr>
      <w:r>
        <w:rPr>
          <w:rFonts w:hint="eastAsia" w:ascii="宋体" w:hAnsi="宋体"/>
          <w:sz w:val="28"/>
          <w:szCs w:val="28"/>
        </w:rPr>
        <w:t>3.5实行资格后审。</w:t>
      </w:r>
    </w:p>
    <w:p>
      <w:pPr>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4.联系方式</w:t>
      </w:r>
    </w:p>
    <w:p>
      <w:pPr>
        <w:ind w:left="280" w:hanging="280" w:hangingChars="1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招标人：</w:t>
      </w:r>
      <w:r>
        <w:rPr>
          <w:rFonts w:hint="eastAsia" w:asciiTheme="minorEastAsia" w:hAnsiTheme="minorEastAsia"/>
          <w:color w:val="000000" w:themeColor="text1"/>
          <w:sz w:val="28"/>
          <w:szCs w:val="28"/>
          <w:lang w:val="en-US" w:eastAsia="zh-CN"/>
          <w14:textFill>
            <w14:solidFill>
              <w14:schemeClr w14:val="tx1"/>
            </w14:solidFill>
          </w14:textFill>
        </w:rPr>
        <w:t>蚌埠市中医医院</w:t>
      </w:r>
      <w:bookmarkStart w:id="33" w:name="_GoBack"/>
      <w:bookmarkEnd w:id="33"/>
    </w:p>
    <w:p>
      <w:pPr>
        <w:ind w:left="279" w:leftChars="133" w:firstLine="280" w:firstLineChars="1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颜</w:t>
      </w:r>
      <w:r>
        <w:rPr>
          <w:rFonts w:hint="eastAsia" w:asciiTheme="minorEastAsia" w:hAnsiTheme="minorEastAsia"/>
          <w:color w:val="000000" w:themeColor="text1"/>
          <w:sz w:val="28"/>
          <w:szCs w:val="28"/>
          <w14:textFill>
            <w14:solidFill>
              <w14:schemeClr w14:val="tx1"/>
            </w14:solidFill>
          </w14:textFill>
        </w:rPr>
        <w:t>工  电话：</w:t>
      </w:r>
      <w:r>
        <w:rPr>
          <w:rFonts w:hint="eastAsia" w:asciiTheme="minorEastAsia" w:hAnsiTheme="minorEastAsia"/>
          <w:color w:val="000000" w:themeColor="text1"/>
          <w:sz w:val="28"/>
          <w:szCs w:val="28"/>
          <w:lang w:val="en-US" w:eastAsia="zh-CN"/>
          <w14:textFill>
            <w14:solidFill>
              <w14:schemeClr w14:val="tx1"/>
            </w14:solidFill>
          </w14:textFill>
        </w:rPr>
        <w:t>17718220723</w:t>
      </w:r>
    </w:p>
    <w:p>
      <w:pPr>
        <w:ind w:left="280" w:hanging="280" w:hangingChars="1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QQ:2379448754</w:t>
      </w:r>
    </w:p>
    <w:p>
      <w:pPr>
        <w:rPr>
          <w:rFonts w:asciiTheme="minorEastAsia" w:hAnsiTheme="minorEastAsia"/>
          <w:color w:val="000000" w:themeColor="text1"/>
          <w:sz w:val="28"/>
          <w:szCs w:val="28"/>
          <w14:textFill>
            <w14:solidFill>
              <w14:schemeClr w14:val="tx1"/>
            </w14:solidFill>
          </w14:textFill>
        </w:rPr>
      </w:pPr>
    </w:p>
    <w:p>
      <w:pPr>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蚌埠</w:t>
      </w:r>
      <w:r>
        <w:rPr>
          <w:rFonts w:hint="eastAsia" w:asciiTheme="minorEastAsia" w:hAnsiTheme="minorEastAsia"/>
          <w:color w:val="000000" w:themeColor="text1"/>
          <w:sz w:val="28"/>
          <w:szCs w:val="28"/>
          <w:lang w:val="en-US" w:eastAsia="zh-CN"/>
          <w14:textFill>
            <w14:solidFill>
              <w14:schemeClr w14:val="tx1"/>
            </w14:solidFill>
          </w14:textFill>
        </w:rPr>
        <w:t>市中医医院</w:t>
      </w:r>
    </w:p>
    <w:p>
      <w:pPr>
        <w:ind w:firstLine="4760" w:firstLineChars="17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w:t>
      </w: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年</w:t>
      </w:r>
      <w:r>
        <w:rPr>
          <w:rFonts w:hint="eastAsia" w:asciiTheme="minorEastAsia" w:hAnsiTheme="minorEastAsia"/>
          <w:color w:val="000000" w:themeColor="text1"/>
          <w:sz w:val="28"/>
          <w:szCs w:val="28"/>
          <w:lang w:val="en-US" w:eastAsia="zh-CN"/>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月1</w:t>
      </w:r>
      <w:r>
        <w:rPr>
          <w:rFonts w:hint="eastAsia" w:asciiTheme="minorEastAsia" w:hAnsiTheme="minorEastAsia"/>
          <w:color w:val="000000" w:themeColor="text1"/>
          <w:sz w:val="28"/>
          <w:szCs w:val="28"/>
          <w:lang w:val="en-US" w:eastAsia="zh-CN"/>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日</w:t>
      </w:r>
    </w:p>
    <w:p>
      <w:pPr>
        <w:widowControl/>
        <w:shd w:val="clear" w:color="auto" w:fill="FFFFFF"/>
        <w:spacing w:before="100" w:beforeAutospacing="1" w:after="100" w:afterAutospacing="1"/>
        <w:jc w:val="center"/>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widowControl/>
        <w:shd w:val="clear" w:color="auto" w:fill="FFFFFF"/>
        <w:spacing w:before="100" w:beforeAutospacing="1" w:after="100" w:afterAutospacing="1"/>
        <w:jc w:val="center"/>
        <w:outlineLvl w:val="0"/>
        <w:rPr>
          <w:rFonts w:ascii="宋体" w:hAnsi="宋体" w:cs="宋体"/>
          <w:color w:val="000000"/>
          <w:kern w:val="0"/>
          <w:sz w:val="24"/>
          <w:szCs w:val="24"/>
        </w:rPr>
      </w:pPr>
      <w:bookmarkStart w:id="1" w:name="_Toc118998700"/>
      <w:r>
        <w:rPr>
          <w:rFonts w:hint="eastAsia" w:ascii="宋体" w:hAnsi="宋体" w:cs="宋体"/>
          <w:b/>
          <w:bCs/>
          <w:color w:val="000000"/>
          <w:kern w:val="0"/>
          <w:sz w:val="32"/>
          <w:szCs w:val="32"/>
        </w:rPr>
        <w:t>第二章  询比人须知</w:t>
      </w:r>
      <w:bookmarkEnd w:id="1"/>
    </w:p>
    <w:tbl>
      <w:tblPr>
        <w:tblStyle w:val="5"/>
        <w:tblW w:w="0" w:type="auto"/>
        <w:jc w:val="center"/>
        <w:tblLayout w:type="autofit"/>
        <w:tblCellMar>
          <w:top w:w="0" w:type="dxa"/>
          <w:left w:w="0" w:type="dxa"/>
          <w:bottom w:w="0" w:type="dxa"/>
          <w:right w:w="0" w:type="dxa"/>
        </w:tblCellMar>
      </w:tblPr>
      <w:tblGrid>
        <w:gridCol w:w="551"/>
        <w:gridCol w:w="2256"/>
        <w:gridCol w:w="5715"/>
      </w:tblGrid>
      <w:tr>
        <w:tblPrEx>
          <w:tblCellMar>
            <w:top w:w="0" w:type="dxa"/>
            <w:left w:w="0" w:type="dxa"/>
            <w:bottom w:w="0" w:type="dxa"/>
            <w:right w:w="0" w:type="dxa"/>
          </w:tblCellMar>
        </w:tblPrEx>
        <w:trPr>
          <w:trHeight w:val="300"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60" w:lineRule="atLeast"/>
              <w:ind w:right="-358"/>
              <w:rPr>
                <w:rFonts w:ascii="宋体" w:hAnsi="宋体" w:cs="宋体"/>
                <w:kern w:val="0"/>
                <w:sz w:val="24"/>
                <w:szCs w:val="24"/>
              </w:rPr>
            </w:pPr>
            <w:bookmarkStart w:id="2" w:name="_Hlt519045778"/>
            <w:bookmarkEnd w:id="2"/>
            <w:bookmarkStart w:id="3" w:name="_Hlt509650027"/>
            <w:bookmarkEnd w:id="3"/>
            <w:r>
              <w:rPr>
                <w:rFonts w:hint="eastAsia" w:ascii="宋体" w:hAnsi="宋体" w:cs="宋体"/>
                <w:b/>
                <w:bCs/>
                <w:color w:val="000000"/>
                <w:kern w:val="0"/>
                <w:sz w:val="24"/>
                <w:szCs w:val="24"/>
              </w:rPr>
              <w:t>序号</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cs="宋体"/>
                <w:kern w:val="0"/>
                <w:sz w:val="24"/>
                <w:szCs w:val="24"/>
              </w:rPr>
            </w:pPr>
            <w:r>
              <w:rPr>
                <w:rFonts w:hint="eastAsia" w:ascii="宋体" w:hAnsi="宋体" w:cs="宋体"/>
                <w:b/>
                <w:bCs/>
                <w:color w:val="000000"/>
                <w:kern w:val="0"/>
                <w:sz w:val="24"/>
                <w:szCs w:val="24"/>
              </w:rPr>
              <w:t>内    容</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cs="宋体"/>
                <w:kern w:val="0"/>
                <w:sz w:val="24"/>
                <w:szCs w:val="24"/>
              </w:rPr>
            </w:pPr>
            <w:r>
              <w:rPr>
                <w:rFonts w:hint="eastAsia" w:ascii="宋体" w:hAnsi="宋体" w:cs="宋体"/>
                <w:b/>
                <w:bCs/>
                <w:color w:val="000000"/>
                <w:kern w:val="0"/>
                <w:sz w:val="24"/>
                <w:szCs w:val="24"/>
              </w:rPr>
              <w:t>说明与要求</w:t>
            </w:r>
          </w:p>
        </w:tc>
      </w:tr>
      <w:tr>
        <w:tblPrEx>
          <w:tblCellMar>
            <w:top w:w="0" w:type="dxa"/>
            <w:left w:w="0" w:type="dxa"/>
            <w:bottom w:w="0" w:type="dxa"/>
            <w:right w:w="0" w:type="dxa"/>
          </w:tblCellMar>
        </w:tblPrEx>
        <w:trPr>
          <w:trHeight w:val="455"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项目名称</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color w:val="000000"/>
                <w:kern w:val="0"/>
                <w:sz w:val="24"/>
                <w:szCs w:val="24"/>
              </w:rPr>
            </w:pPr>
            <w:r>
              <w:rPr>
                <w:rFonts w:hint="eastAsia" w:ascii="宋体" w:hAnsi="宋体"/>
                <w:b w:val="0"/>
                <w:bCs/>
                <w:sz w:val="28"/>
                <w:szCs w:val="28"/>
              </w:rPr>
              <w:t>蚌埠</w:t>
            </w:r>
            <w:r>
              <w:rPr>
                <w:rFonts w:hint="eastAsia" w:ascii="宋体" w:hAnsi="宋体"/>
                <w:b w:val="0"/>
                <w:bCs/>
                <w:sz w:val="28"/>
                <w:szCs w:val="28"/>
                <w:lang w:val="en-US" w:eastAsia="zh-CN"/>
              </w:rPr>
              <w:t>市中医医院住院综合楼项目造价咨询服务</w:t>
            </w:r>
          </w:p>
        </w:tc>
      </w:tr>
      <w:tr>
        <w:tblPrEx>
          <w:tblCellMar>
            <w:top w:w="0" w:type="dxa"/>
            <w:left w:w="0" w:type="dxa"/>
            <w:bottom w:w="0" w:type="dxa"/>
            <w:right w:w="0" w:type="dxa"/>
          </w:tblCellMar>
        </w:tblPrEx>
        <w:trPr>
          <w:trHeight w:val="395"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采购人</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hint="default" w:ascii="宋体" w:hAnsi="宋体" w:cs="宋体" w:eastAsiaTheme="minorEastAsia"/>
                <w:kern w:val="0"/>
                <w:sz w:val="24"/>
                <w:szCs w:val="24"/>
                <w:lang w:val="en-US" w:eastAsia="zh-CN"/>
              </w:rPr>
            </w:pPr>
            <w:r>
              <w:rPr>
                <w:rFonts w:hint="eastAsia" w:ascii="宋体" w:hAnsi="宋体" w:cs="宋体"/>
                <w:color w:val="000000"/>
                <w:kern w:val="0"/>
                <w:sz w:val="24"/>
                <w:szCs w:val="24"/>
              </w:rPr>
              <w:t>蚌埠市</w:t>
            </w:r>
            <w:r>
              <w:rPr>
                <w:rFonts w:hint="eastAsia" w:ascii="宋体" w:hAnsi="宋体" w:cs="宋体"/>
                <w:color w:val="000000"/>
                <w:kern w:val="0"/>
                <w:sz w:val="24"/>
                <w:szCs w:val="24"/>
                <w:lang w:val="en-US" w:eastAsia="zh-CN"/>
              </w:rPr>
              <w:t>中医医院</w:t>
            </w:r>
          </w:p>
        </w:tc>
      </w:tr>
      <w:tr>
        <w:tblPrEx>
          <w:tblCellMar>
            <w:top w:w="0" w:type="dxa"/>
            <w:left w:w="0" w:type="dxa"/>
            <w:bottom w:w="0" w:type="dxa"/>
            <w:right w:w="0" w:type="dxa"/>
          </w:tblCellMar>
        </w:tblPrEx>
        <w:trPr>
          <w:trHeight w:val="360"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4</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资金来源</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自筹资金</w:t>
            </w:r>
          </w:p>
        </w:tc>
      </w:tr>
      <w:tr>
        <w:tblPrEx>
          <w:tblCellMar>
            <w:top w:w="0" w:type="dxa"/>
            <w:left w:w="0" w:type="dxa"/>
            <w:bottom w:w="0" w:type="dxa"/>
            <w:right w:w="0" w:type="dxa"/>
          </w:tblCellMar>
        </w:tblPrEx>
        <w:trPr>
          <w:trHeight w:val="399"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5</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采购范围</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ascii="宋体" w:hAnsi="宋体" w:cs="宋体"/>
                <w:color w:val="000000"/>
                <w:kern w:val="0"/>
                <w:sz w:val="24"/>
                <w:szCs w:val="24"/>
              </w:rPr>
            </w:pPr>
            <w:r>
              <w:rPr>
                <w:rFonts w:hint="eastAsia" w:ascii="宋体" w:hAnsi="宋体"/>
                <w:b/>
                <w:sz w:val="24"/>
                <w:szCs w:val="24"/>
              </w:rPr>
              <w:t>蚌埠</w:t>
            </w:r>
            <w:r>
              <w:rPr>
                <w:rFonts w:hint="eastAsia" w:ascii="宋体" w:hAnsi="宋体"/>
                <w:b/>
                <w:sz w:val="24"/>
                <w:szCs w:val="24"/>
                <w:lang w:val="en-US" w:eastAsia="zh-CN"/>
              </w:rPr>
              <w:t>市中医医院住院综合楼项目</w:t>
            </w:r>
            <w:r>
              <w:rPr>
                <w:rFonts w:hint="eastAsia" w:ascii="宋体" w:hAnsi="宋体"/>
                <w:b/>
                <w:sz w:val="24"/>
                <w:szCs w:val="24"/>
              </w:rPr>
              <w:t>工程造价、审计服务</w:t>
            </w:r>
          </w:p>
        </w:tc>
      </w:tr>
      <w:tr>
        <w:tblPrEx>
          <w:tblCellMar>
            <w:top w:w="0" w:type="dxa"/>
            <w:left w:w="0" w:type="dxa"/>
            <w:bottom w:w="0" w:type="dxa"/>
            <w:right w:w="0" w:type="dxa"/>
          </w:tblCellMar>
        </w:tblPrEx>
        <w:trPr>
          <w:trHeight w:val="327"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6</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标段划分</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详见具体项目要求</w:t>
            </w:r>
          </w:p>
        </w:tc>
      </w:tr>
      <w:tr>
        <w:tblPrEx>
          <w:tblCellMar>
            <w:top w:w="0" w:type="dxa"/>
            <w:left w:w="0" w:type="dxa"/>
            <w:bottom w:w="0" w:type="dxa"/>
            <w:right w:w="0" w:type="dxa"/>
          </w:tblCellMar>
        </w:tblPrEx>
        <w:trPr>
          <w:trHeight w:val="497"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7</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询比人资格要求</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详见询比公告</w:t>
            </w:r>
          </w:p>
        </w:tc>
      </w:tr>
      <w:tr>
        <w:tblPrEx>
          <w:tblCellMar>
            <w:top w:w="0" w:type="dxa"/>
            <w:left w:w="0" w:type="dxa"/>
            <w:bottom w:w="0" w:type="dxa"/>
            <w:right w:w="0" w:type="dxa"/>
          </w:tblCellMar>
        </w:tblPrEx>
        <w:trPr>
          <w:trHeight w:val="758"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8</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询比人信誉要求</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投标单位必须有良好的社会信誉，在近三年来的投标活动和项目实施过程中没发生过违法违规等不良行为。</w:t>
            </w:r>
          </w:p>
        </w:tc>
      </w:tr>
      <w:tr>
        <w:tblPrEx>
          <w:tblCellMar>
            <w:top w:w="0" w:type="dxa"/>
            <w:left w:w="0" w:type="dxa"/>
            <w:bottom w:w="0" w:type="dxa"/>
            <w:right w:w="0" w:type="dxa"/>
          </w:tblCellMar>
        </w:tblPrEx>
        <w:trPr>
          <w:trHeight w:val="491"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9</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资格审查方式</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宋体"/>
                <w:kern w:val="0"/>
                <w:sz w:val="24"/>
                <w:szCs w:val="24"/>
              </w:rPr>
            </w:pPr>
            <w:r>
              <w:rPr>
                <w:rFonts w:hint="eastAsia" w:ascii="宋体" w:hAnsi="宋体" w:cs="宋体"/>
                <w:color w:val="000000"/>
                <w:kern w:val="0"/>
                <w:sz w:val="24"/>
                <w:szCs w:val="24"/>
              </w:rPr>
              <w:t>□资格预审 </w:t>
            </w:r>
            <w:r>
              <w:rPr>
                <w:rFonts w:hint="eastAsia" w:ascii="宋体" w:hAnsi="宋体" w:cs="宋体"/>
                <w:color w:val="000000"/>
                <w:kern w:val="0"/>
                <w:sz w:val="24"/>
                <w:szCs w:val="24"/>
                <w:bdr w:val="single" w:color="auto" w:sz="8" w:space="0"/>
              </w:rPr>
              <w:t>√</w:t>
            </w:r>
            <w:r>
              <w:rPr>
                <w:rFonts w:hint="eastAsia" w:ascii="宋体" w:hAnsi="宋体" w:cs="宋体"/>
                <w:kern w:val="0"/>
                <w:sz w:val="24"/>
                <w:szCs w:val="24"/>
              </w:rPr>
              <w:t>资格后审</w:t>
            </w:r>
          </w:p>
        </w:tc>
      </w:tr>
      <w:tr>
        <w:tblPrEx>
          <w:tblCellMar>
            <w:top w:w="0" w:type="dxa"/>
            <w:left w:w="0" w:type="dxa"/>
            <w:bottom w:w="0" w:type="dxa"/>
            <w:right w:w="0" w:type="dxa"/>
          </w:tblCellMar>
        </w:tblPrEx>
        <w:trPr>
          <w:trHeight w:val="461"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10</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是否接受联合体投标</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宋体"/>
                <w:kern w:val="0"/>
                <w:sz w:val="24"/>
                <w:szCs w:val="24"/>
              </w:rPr>
            </w:pPr>
            <w:r>
              <w:rPr>
                <w:rFonts w:hint="eastAsia" w:ascii="宋体" w:hAnsi="宋体" w:cs="宋体"/>
                <w:color w:val="000000"/>
                <w:kern w:val="0"/>
                <w:sz w:val="24"/>
                <w:szCs w:val="24"/>
              </w:rPr>
              <w:t>□接受    </w:t>
            </w:r>
            <w:r>
              <w:rPr>
                <w:rFonts w:hint="eastAsia" w:ascii="宋体" w:hAnsi="宋体" w:cs="宋体"/>
                <w:color w:val="000000"/>
                <w:kern w:val="0"/>
                <w:sz w:val="24"/>
                <w:szCs w:val="24"/>
                <w:bdr w:val="single" w:color="auto" w:sz="8" w:space="0"/>
              </w:rPr>
              <w:t>√</w:t>
            </w:r>
            <w:r>
              <w:rPr>
                <w:rFonts w:hint="eastAsia" w:ascii="宋体" w:hAnsi="宋体" w:cs="宋体"/>
                <w:color w:val="000000"/>
                <w:kern w:val="0"/>
                <w:sz w:val="24"/>
                <w:szCs w:val="24"/>
              </w:rPr>
              <w:t>不接受</w:t>
            </w:r>
          </w:p>
        </w:tc>
      </w:tr>
      <w:tr>
        <w:tblPrEx>
          <w:tblCellMar>
            <w:top w:w="0" w:type="dxa"/>
            <w:left w:w="0" w:type="dxa"/>
            <w:bottom w:w="0" w:type="dxa"/>
            <w:right w:w="0" w:type="dxa"/>
          </w:tblCellMar>
        </w:tblPrEx>
        <w:trPr>
          <w:trHeight w:val="468"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11</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投标预备会</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宋体"/>
                <w:kern w:val="0"/>
                <w:sz w:val="24"/>
                <w:szCs w:val="24"/>
              </w:rPr>
            </w:pPr>
            <w:r>
              <w:rPr>
                <w:rFonts w:hint="eastAsia" w:ascii="宋体" w:hAnsi="宋体" w:cs="宋体"/>
                <w:color w:val="000000"/>
                <w:kern w:val="0"/>
                <w:sz w:val="24"/>
                <w:szCs w:val="24"/>
                <w:bdr w:val="single" w:color="auto" w:sz="8" w:space="0"/>
              </w:rPr>
              <w:t>√</w:t>
            </w:r>
            <w:r>
              <w:rPr>
                <w:rFonts w:hint="eastAsia" w:ascii="宋体" w:hAnsi="宋体" w:cs="宋体"/>
                <w:kern w:val="0"/>
                <w:sz w:val="24"/>
                <w:szCs w:val="24"/>
              </w:rPr>
              <w:t>不召开  □召开</w:t>
            </w:r>
          </w:p>
        </w:tc>
      </w:tr>
      <w:tr>
        <w:tblPrEx>
          <w:tblCellMar>
            <w:top w:w="0" w:type="dxa"/>
            <w:left w:w="0" w:type="dxa"/>
            <w:bottom w:w="0" w:type="dxa"/>
            <w:right w:w="0" w:type="dxa"/>
          </w:tblCellMar>
        </w:tblPrEx>
        <w:trPr>
          <w:trHeight w:val="493"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12</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勘察现场</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w:t>
            </w:r>
          </w:p>
        </w:tc>
      </w:tr>
      <w:tr>
        <w:tblPrEx>
          <w:tblCellMar>
            <w:top w:w="0" w:type="dxa"/>
            <w:left w:w="0" w:type="dxa"/>
            <w:bottom w:w="0" w:type="dxa"/>
            <w:right w:w="0" w:type="dxa"/>
          </w:tblCellMar>
        </w:tblPrEx>
        <w:trPr>
          <w:trHeight w:val="451"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13</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分包</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bdr w:val="single" w:color="auto" w:sz="8" w:space="0"/>
              </w:rPr>
              <w:t>√</w:t>
            </w:r>
            <w:r>
              <w:rPr>
                <w:rFonts w:hint="eastAsia" w:ascii="宋体" w:hAnsi="宋体" w:cs="宋体"/>
                <w:color w:val="000000"/>
                <w:kern w:val="0"/>
                <w:sz w:val="24"/>
                <w:szCs w:val="24"/>
              </w:rPr>
              <w:t>不允许        □允许</w:t>
            </w:r>
          </w:p>
        </w:tc>
      </w:tr>
      <w:tr>
        <w:tblPrEx>
          <w:tblCellMar>
            <w:top w:w="0" w:type="dxa"/>
            <w:left w:w="0" w:type="dxa"/>
            <w:bottom w:w="0" w:type="dxa"/>
            <w:right w:w="0" w:type="dxa"/>
          </w:tblCellMar>
        </w:tblPrEx>
        <w:trPr>
          <w:trHeight w:val="401"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14</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偏离</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bdr w:val="single" w:color="auto" w:sz="8" w:space="0"/>
              </w:rPr>
              <w:t>√</w:t>
            </w:r>
            <w:r>
              <w:rPr>
                <w:rFonts w:hint="eastAsia" w:ascii="宋体" w:hAnsi="宋体" w:cs="宋体"/>
                <w:color w:val="000000"/>
                <w:kern w:val="0"/>
                <w:sz w:val="24"/>
                <w:szCs w:val="24"/>
              </w:rPr>
              <w:t>不允许        □允许</w:t>
            </w:r>
          </w:p>
        </w:tc>
      </w:tr>
      <w:tr>
        <w:tblPrEx>
          <w:tblCellMar>
            <w:top w:w="0" w:type="dxa"/>
            <w:left w:w="0" w:type="dxa"/>
            <w:bottom w:w="0" w:type="dxa"/>
            <w:right w:w="0" w:type="dxa"/>
          </w:tblCellMar>
        </w:tblPrEx>
        <w:trPr>
          <w:trHeight w:val="504"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15</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投标有效期</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u w:val="single"/>
              </w:rPr>
              <w:t>90</w:t>
            </w:r>
            <w:r>
              <w:rPr>
                <w:rFonts w:hint="eastAsia" w:ascii="宋体" w:hAnsi="宋体" w:cs="宋体"/>
                <w:color w:val="000000"/>
                <w:kern w:val="0"/>
                <w:sz w:val="24"/>
                <w:szCs w:val="24"/>
              </w:rPr>
              <w:t>日历天（从投标截止之日算起）</w:t>
            </w:r>
          </w:p>
        </w:tc>
      </w:tr>
      <w:tr>
        <w:tblPrEx>
          <w:tblCellMar>
            <w:top w:w="0" w:type="dxa"/>
            <w:left w:w="0" w:type="dxa"/>
            <w:bottom w:w="0" w:type="dxa"/>
            <w:right w:w="0" w:type="dxa"/>
          </w:tblCellMar>
        </w:tblPrEx>
        <w:trPr>
          <w:trHeight w:val="313"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16</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投标保证金</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cs="宋体"/>
                <w:color w:val="000000"/>
                <w:kern w:val="0"/>
                <w:sz w:val="24"/>
                <w:szCs w:val="24"/>
              </w:rPr>
            </w:pPr>
            <w:r>
              <w:rPr>
                <w:rFonts w:hint="eastAsia" w:ascii="宋体" w:hAnsi="宋体" w:cs="宋体"/>
                <w:color w:val="000000"/>
                <w:kern w:val="0"/>
                <w:sz w:val="24"/>
                <w:szCs w:val="24"/>
              </w:rPr>
              <w:t>/</w:t>
            </w:r>
          </w:p>
        </w:tc>
      </w:tr>
      <w:tr>
        <w:tblPrEx>
          <w:tblCellMar>
            <w:top w:w="0" w:type="dxa"/>
            <w:left w:w="0" w:type="dxa"/>
            <w:bottom w:w="0" w:type="dxa"/>
            <w:right w:w="0" w:type="dxa"/>
          </w:tblCellMar>
        </w:tblPrEx>
        <w:trPr>
          <w:trHeight w:val="274"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17</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履约保证金</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hint="eastAsia" w:ascii="宋体" w:hAnsi="宋体" w:cs="宋体" w:eastAsiaTheme="minorEastAsia"/>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不收取</w:t>
            </w:r>
          </w:p>
        </w:tc>
      </w:tr>
      <w:tr>
        <w:tblPrEx>
          <w:tblCellMar>
            <w:top w:w="0" w:type="dxa"/>
            <w:left w:w="0" w:type="dxa"/>
            <w:bottom w:w="0" w:type="dxa"/>
            <w:right w:w="0" w:type="dxa"/>
          </w:tblCellMar>
        </w:tblPrEx>
        <w:trPr>
          <w:trHeight w:val="274"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18</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是否允许递交备选</w:t>
            </w:r>
          </w:p>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投标方案</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bdr w:val="single" w:color="auto" w:sz="8" w:space="0"/>
              </w:rPr>
              <w:t>√</w:t>
            </w:r>
            <w:r>
              <w:rPr>
                <w:rFonts w:hint="eastAsia" w:ascii="宋体" w:hAnsi="宋体" w:cs="宋体"/>
                <w:color w:val="000000"/>
                <w:kern w:val="0"/>
                <w:sz w:val="24"/>
                <w:szCs w:val="24"/>
              </w:rPr>
              <w:t>不允许            □允许</w:t>
            </w:r>
          </w:p>
        </w:tc>
      </w:tr>
      <w:tr>
        <w:tblPrEx>
          <w:tblCellMar>
            <w:top w:w="0" w:type="dxa"/>
            <w:left w:w="0" w:type="dxa"/>
            <w:bottom w:w="0" w:type="dxa"/>
            <w:right w:w="0" w:type="dxa"/>
          </w:tblCellMar>
        </w:tblPrEx>
        <w:trPr>
          <w:trHeight w:val="337"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19</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kern w:val="0"/>
                <w:sz w:val="24"/>
                <w:szCs w:val="24"/>
              </w:rPr>
            </w:pPr>
            <w:r>
              <w:rPr>
                <w:rFonts w:hint="eastAsia" w:ascii="宋体" w:hAnsi="宋体" w:eastAsia="宋体" w:cs="宋体"/>
                <w:color w:val="000000"/>
                <w:kern w:val="0"/>
                <w:sz w:val="24"/>
                <w:szCs w:val="24"/>
              </w:rPr>
              <w:t>签字或盖章要求</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、上传的投标文件扫描件每一页均加盖投标人公章；</w:t>
            </w:r>
          </w:p>
          <w:p>
            <w:pPr>
              <w:widowControl/>
              <w:spacing w:before="100" w:beforeAutospacing="1" w:after="100" w:afterAutospacing="1" w:line="360" w:lineRule="atLeast"/>
              <w:rPr>
                <w:rFonts w:ascii="宋体" w:hAnsi="Calibri" w:eastAsia="宋体" w:cs="宋体"/>
                <w:kern w:val="0"/>
                <w:sz w:val="24"/>
                <w:szCs w:val="24"/>
              </w:rPr>
            </w:pPr>
            <w:r>
              <w:rPr>
                <w:rFonts w:hint="eastAsia" w:ascii="宋体" w:hAnsi="宋体" w:eastAsia="宋体" w:cs="宋体"/>
                <w:color w:val="000000"/>
                <w:kern w:val="0"/>
                <w:sz w:val="24"/>
                <w:szCs w:val="24"/>
              </w:rPr>
              <w:t>2、由委托代理人签字的，在询比响应文件中须同时提交授权委托书。询比响应文件授权委托书格式、签字、盖章及内容均应符合本文件要求。</w:t>
            </w:r>
          </w:p>
        </w:tc>
      </w:tr>
      <w:tr>
        <w:tblPrEx>
          <w:tblCellMar>
            <w:top w:w="0" w:type="dxa"/>
            <w:left w:w="0" w:type="dxa"/>
            <w:bottom w:w="0" w:type="dxa"/>
            <w:right w:w="0" w:type="dxa"/>
          </w:tblCellMar>
        </w:tblPrEx>
        <w:trPr>
          <w:trHeight w:val="1015"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20</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kern w:val="0"/>
                <w:sz w:val="24"/>
                <w:szCs w:val="24"/>
              </w:rPr>
            </w:pPr>
            <w:r>
              <w:rPr>
                <w:rFonts w:hint="eastAsia" w:ascii="宋体" w:hAnsi="宋体" w:eastAsia="宋体" w:cs="宋体"/>
                <w:color w:val="000000"/>
                <w:kern w:val="0"/>
                <w:sz w:val="24"/>
                <w:szCs w:val="24"/>
              </w:rPr>
              <w:t>询比小组的组建</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Calibri" w:eastAsia="宋体" w:cs="宋体"/>
                <w:kern w:val="0"/>
                <w:sz w:val="24"/>
                <w:szCs w:val="24"/>
              </w:rPr>
            </w:pPr>
            <w:r>
              <w:rPr>
                <w:rFonts w:hint="eastAsia" w:ascii="宋体" w:hAnsi="宋体" w:eastAsia="宋体" w:cs="宋体"/>
                <w:color w:val="000000"/>
                <w:kern w:val="0"/>
                <w:sz w:val="24"/>
                <w:szCs w:val="24"/>
              </w:rPr>
              <w:t>询比小组构成</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不少于</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人</w:t>
            </w:r>
          </w:p>
        </w:tc>
      </w:tr>
      <w:tr>
        <w:tblPrEx>
          <w:tblCellMar>
            <w:top w:w="0" w:type="dxa"/>
            <w:left w:w="0" w:type="dxa"/>
            <w:bottom w:w="0" w:type="dxa"/>
            <w:right w:w="0" w:type="dxa"/>
          </w:tblCellMar>
        </w:tblPrEx>
        <w:trPr>
          <w:trHeight w:val="654"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21</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kern w:val="0"/>
                <w:sz w:val="24"/>
                <w:szCs w:val="24"/>
              </w:rPr>
            </w:pPr>
            <w:r>
              <w:rPr>
                <w:rFonts w:hint="eastAsia" w:ascii="宋体" w:hAnsi="宋体" w:eastAsia="宋体" w:cs="宋体"/>
                <w:color w:val="000000"/>
                <w:kern w:val="0"/>
                <w:sz w:val="24"/>
                <w:szCs w:val="24"/>
              </w:rPr>
              <w:t>是否授权询比小组确定中标人</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Calibri" w:eastAsia="宋体" w:cs="宋体"/>
                <w:kern w:val="0"/>
                <w:sz w:val="24"/>
                <w:szCs w:val="24"/>
              </w:rPr>
            </w:pPr>
            <w:r>
              <w:rPr>
                <w:rFonts w:hint="eastAsia" w:ascii="宋体" w:hAnsi="宋体" w:eastAsia="宋体" w:cs="宋体"/>
                <w:color w:val="000000"/>
                <w:kern w:val="0"/>
                <w:sz w:val="24"/>
                <w:szCs w:val="24"/>
              </w:rPr>
              <w:t>□是</w:t>
            </w:r>
            <w:r>
              <w:rPr>
                <w:rFonts w:ascii="宋体" w:hAnsi="Calibri" w:eastAsia="宋体" w:cs="宋体"/>
                <w:color w:val="000000"/>
                <w:kern w:val="0"/>
                <w:sz w:val="24"/>
                <w:szCs w:val="24"/>
              </w:rPr>
              <w:t>      </w:t>
            </w:r>
            <w:r>
              <w:rPr>
                <w:rFonts w:hint="eastAsia" w:ascii="宋体" w:hAnsi="宋体" w:eastAsia="宋体" w:cs="宋体"/>
                <w:color w:val="000000"/>
                <w:kern w:val="0"/>
                <w:sz w:val="24"/>
                <w:szCs w:val="24"/>
                <w:bdr w:val="single" w:color="auto" w:sz="8" w:space="0"/>
              </w:rPr>
              <w:t>√</w:t>
            </w:r>
            <w:r>
              <w:rPr>
                <w:rFonts w:hint="eastAsia" w:ascii="宋体" w:hAnsi="宋体" w:eastAsia="宋体" w:cs="宋体"/>
                <w:color w:val="000000"/>
                <w:kern w:val="0"/>
                <w:sz w:val="24"/>
                <w:szCs w:val="24"/>
              </w:rPr>
              <w:t>否</w:t>
            </w:r>
          </w:p>
        </w:tc>
      </w:tr>
      <w:tr>
        <w:tblPrEx>
          <w:tblCellMar>
            <w:top w:w="0" w:type="dxa"/>
            <w:left w:w="0" w:type="dxa"/>
            <w:bottom w:w="0" w:type="dxa"/>
            <w:right w:w="0" w:type="dxa"/>
          </w:tblCellMar>
        </w:tblPrEx>
        <w:trPr>
          <w:trHeight w:val="90"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22</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kern w:val="0"/>
                <w:sz w:val="24"/>
                <w:szCs w:val="24"/>
                <w:highlight w:val="yellow"/>
              </w:rPr>
            </w:pPr>
            <w:r>
              <w:rPr>
                <w:rFonts w:hint="eastAsia" w:ascii="宋体" w:hAnsi="宋体" w:eastAsia="宋体" w:cs="宋体"/>
                <w:color w:val="000000"/>
                <w:kern w:val="0"/>
                <w:sz w:val="24"/>
                <w:szCs w:val="24"/>
              </w:rPr>
              <w:t>服务地点</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90" w:lineRule="atLeast"/>
              <w:rPr>
                <w:rFonts w:ascii="宋体" w:hAnsi="Calibri" w:eastAsia="宋体" w:cs="宋体"/>
                <w:kern w:val="0"/>
                <w:sz w:val="24"/>
                <w:szCs w:val="24"/>
              </w:rPr>
            </w:pPr>
            <w:r>
              <w:rPr>
                <w:rFonts w:hint="eastAsia" w:ascii="宋体" w:hAnsi="宋体" w:eastAsia="宋体" w:cs="宋体"/>
                <w:color w:val="000000"/>
                <w:kern w:val="0"/>
                <w:sz w:val="24"/>
                <w:szCs w:val="24"/>
              </w:rPr>
              <w:t>蚌埠市</w:t>
            </w:r>
            <w:r>
              <w:rPr>
                <w:rFonts w:hint="eastAsia" w:ascii="宋体" w:hAnsi="宋体" w:eastAsia="宋体" w:cs="宋体"/>
                <w:color w:val="000000"/>
                <w:kern w:val="0"/>
                <w:sz w:val="24"/>
                <w:szCs w:val="24"/>
                <w:lang w:val="en-US" w:eastAsia="zh-CN"/>
              </w:rPr>
              <w:t>中医医院</w:t>
            </w:r>
            <w:r>
              <w:rPr>
                <w:rFonts w:hint="eastAsia" w:ascii="宋体" w:hAnsi="宋体" w:eastAsia="宋体" w:cs="宋体"/>
                <w:color w:val="000000"/>
                <w:kern w:val="0"/>
                <w:sz w:val="24"/>
                <w:szCs w:val="24"/>
              </w:rPr>
              <w:t>指定区域</w:t>
            </w:r>
          </w:p>
        </w:tc>
      </w:tr>
      <w:tr>
        <w:tblPrEx>
          <w:tblCellMar>
            <w:top w:w="0" w:type="dxa"/>
            <w:left w:w="0" w:type="dxa"/>
            <w:bottom w:w="0" w:type="dxa"/>
            <w:right w:w="0" w:type="dxa"/>
          </w:tblCellMar>
        </w:tblPrEx>
        <w:trPr>
          <w:trHeight w:val="90"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装订要求</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不得散装，否则，招标代理部门对比选响应文件丢失或其他后果不承担任何责任。</w:t>
            </w:r>
          </w:p>
        </w:tc>
      </w:tr>
      <w:tr>
        <w:tblPrEx>
          <w:tblCellMar>
            <w:top w:w="0" w:type="dxa"/>
            <w:left w:w="0" w:type="dxa"/>
            <w:bottom w:w="0" w:type="dxa"/>
            <w:right w:w="0" w:type="dxa"/>
          </w:tblCellMar>
        </w:tblPrEx>
        <w:trPr>
          <w:trHeight w:val="399"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90" w:lineRule="atLeast"/>
              <w:jc w:val="center"/>
              <w:rPr>
                <w:rFonts w:ascii="宋体" w:hAnsi="宋体" w:cs="宋体"/>
                <w:kern w:val="0"/>
                <w:sz w:val="24"/>
                <w:szCs w:val="24"/>
              </w:rPr>
            </w:pPr>
            <w:r>
              <w:rPr>
                <w:rFonts w:hint="eastAsia" w:ascii="宋体" w:hAnsi="宋体" w:cs="宋体"/>
                <w:color w:val="000000"/>
                <w:kern w:val="0"/>
                <w:sz w:val="24"/>
                <w:szCs w:val="24"/>
              </w:rPr>
              <w:t>24</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color w:val="000000"/>
                <w:kern w:val="0"/>
                <w:sz w:val="24"/>
                <w:szCs w:val="24"/>
              </w:rPr>
              <w:t>服务时间</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按照单个项目具体要求</w:t>
            </w:r>
          </w:p>
        </w:tc>
      </w:tr>
      <w:tr>
        <w:tblPrEx>
          <w:tblCellMar>
            <w:top w:w="0" w:type="dxa"/>
            <w:left w:w="0" w:type="dxa"/>
            <w:bottom w:w="0" w:type="dxa"/>
            <w:right w:w="0" w:type="dxa"/>
          </w:tblCellMar>
        </w:tblPrEx>
        <w:trPr>
          <w:trHeight w:val="438"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25</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b/>
                <w:kern w:val="0"/>
                <w:sz w:val="24"/>
                <w:szCs w:val="24"/>
                <w:highlight w:val="none"/>
              </w:rPr>
            </w:pPr>
            <w:r>
              <w:rPr>
                <w:rFonts w:hint="eastAsia" w:ascii="宋体" w:hAnsi="宋体" w:eastAsia="宋体" w:cs="宋体"/>
                <w:b/>
                <w:color w:val="000000"/>
                <w:kern w:val="0"/>
                <w:sz w:val="24"/>
                <w:szCs w:val="24"/>
                <w:highlight w:val="none"/>
              </w:rPr>
              <w:t>货款支付方式</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highlight w:val="none"/>
              </w:rPr>
            </w:pPr>
            <w:r>
              <w:rPr>
                <w:rFonts w:hint="eastAsia" w:ascii="宋体" w:hAnsi="宋体" w:cs="宋体"/>
                <w:color w:val="000000"/>
                <w:kern w:val="0"/>
                <w:sz w:val="24"/>
                <w:szCs w:val="24"/>
                <w:highlight w:val="none"/>
              </w:rPr>
              <w:t>对已完成造价咨询成果编制并得到委托人签认的服务报酬,服务公司提供有效发票后一次性付清。</w:t>
            </w:r>
          </w:p>
        </w:tc>
      </w:tr>
      <w:tr>
        <w:tblPrEx>
          <w:tblCellMar>
            <w:top w:w="0" w:type="dxa"/>
            <w:left w:w="0" w:type="dxa"/>
            <w:bottom w:w="0" w:type="dxa"/>
            <w:right w:w="0" w:type="dxa"/>
          </w:tblCellMar>
        </w:tblPrEx>
        <w:trPr>
          <w:trHeight w:val="90"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color w:val="000000"/>
                <w:kern w:val="0"/>
                <w:sz w:val="24"/>
                <w:szCs w:val="24"/>
              </w:rPr>
              <w:t>26</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b/>
                <w:kern w:val="0"/>
                <w:sz w:val="24"/>
                <w:szCs w:val="24"/>
                <w:highlight w:val="none"/>
              </w:rPr>
            </w:pPr>
            <w:r>
              <w:rPr>
                <w:rFonts w:hint="eastAsia" w:ascii="宋体" w:hAnsi="宋体" w:eastAsia="宋体" w:cs="宋体"/>
                <w:b/>
                <w:color w:val="000000"/>
                <w:kern w:val="0"/>
                <w:sz w:val="24"/>
                <w:szCs w:val="24"/>
                <w:highlight w:val="none"/>
              </w:rPr>
              <w:t>最高投标限价</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宋体" w:cs="宋体"/>
                <w:kern w:val="0"/>
                <w:sz w:val="24"/>
                <w:szCs w:val="24"/>
                <w:highlight w:val="none"/>
              </w:rPr>
            </w:pPr>
            <w:r>
              <w:rPr>
                <w:rFonts w:hint="eastAsia" w:ascii="宋体" w:hAnsi="宋体" w:cs="宋体"/>
                <w:kern w:val="0"/>
                <w:sz w:val="24"/>
                <w:szCs w:val="24"/>
                <w:highlight w:val="none"/>
              </w:rPr>
              <w:t>本项目最高控制费率：100%，不得高于最高控制费率，否则按废标处理</w:t>
            </w:r>
          </w:p>
        </w:tc>
      </w:tr>
      <w:tr>
        <w:tblPrEx>
          <w:tblCellMar>
            <w:top w:w="0" w:type="dxa"/>
            <w:left w:w="0" w:type="dxa"/>
            <w:bottom w:w="0" w:type="dxa"/>
            <w:right w:w="0" w:type="dxa"/>
          </w:tblCellMar>
        </w:tblPrEx>
        <w:trPr>
          <w:trHeight w:val="381" w:hRule="atLeast"/>
          <w:jc w:val="center"/>
        </w:trPr>
        <w:tc>
          <w:tcPr>
            <w:tcW w:w="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27</w:t>
            </w:r>
          </w:p>
        </w:tc>
        <w:tc>
          <w:tcPr>
            <w:tcW w:w="2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Calibri" w:eastAsia="宋体" w:cs="宋体"/>
                <w:kern w:val="0"/>
                <w:sz w:val="24"/>
                <w:szCs w:val="24"/>
              </w:rPr>
            </w:pPr>
            <w:r>
              <w:rPr>
                <w:rFonts w:hint="eastAsia" w:ascii="宋体" w:hAnsi="宋体" w:eastAsia="宋体" w:cs="宋体"/>
                <w:color w:val="000000"/>
                <w:kern w:val="0"/>
                <w:sz w:val="24"/>
                <w:szCs w:val="24"/>
              </w:rPr>
              <w:t>其他要求</w:t>
            </w:r>
          </w:p>
        </w:tc>
        <w:tc>
          <w:tcPr>
            <w:tcW w:w="5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Ansi="Calibri"/>
                <w:sz w:val="24"/>
              </w:rPr>
            </w:pPr>
            <w:r>
              <w:rPr>
                <w:sz w:val="24"/>
              </w:rPr>
              <w:t>1</w:t>
            </w:r>
            <w:r>
              <w:rPr>
                <w:rFonts w:hint="eastAsia"/>
                <w:sz w:val="24"/>
              </w:rPr>
              <w:t>.投标人应仔细阅读询比文件中的所有内容（包括说明、格式、条款和技术要求）。由于对询比文件的理解发生误差，以及没有按询比文件要求提供全部资料或递交没有实质性响应询比文件的询比响应文件，而造成投标失误，将由投标人承担其风险。</w:t>
            </w:r>
          </w:p>
          <w:p>
            <w:pPr>
              <w:rPr>
                <w:rFonts w:hAnsi="Calibri"/>
              </w:rPr>
            </w:pPr>
            <w:r>
              <w:rPr>
                <w:sz w:val="24"/>
              </w:rPr>
              <w:t>2</w:t>
            </w:r>
            <w:r>
              <w:rPr>
                <w:rFonts w:hint="eastAsia"/>
                <w:sz w:val="24"/>
              </w:rPr>
              <w:t>.供应商如有疑问可以在线提问并在线查看答疑澄清，无疑问视同投标人认可询比文件的所有条款及内容。</w:t>
            </w:r>
          </w:p>
        </w:tc>
      </w:tr>
    </w:tbl>
    <w:p>
      <w:pPr>
        <w:pStyle w:val="11"/>
      </w:pPr>
      <w:r>
        <w:br w:type="page"/>
      </w:r>
    </w:p>
    <w:p>
      <w:pPr>
        <w:widowControl/>
        <w:shd w:val="clear" w:color="auto" w:fill="FFFFFF"/>
        <w:spacing w:before="100" w:beforeAutospacing="1" w:after="100" w:afterAutospacing="1"/>
        <w:jc w:val="center"/>
        <w:outlineLvl w:val="0"/>
        <w:rPr>
          <w:rFonts w:ascii="宋体" w:hAnsi="宋体" w:cs="宋体"/>
          <w:b/>
          <w:bCs/>
          <w:color w:val="000000"/>
          <w:kern w:val="0"/>
          <w:sz w:val="32"/>
          <w:szCs w:val="32"/>
        </w:rPr>
      </w:pPr>
      <w:bookmarkStart w:id="4" w:name="_Toc118998701"/>
      <w:r>
        <w:rPr>
          <w:rFonts w:hint="eastAsia" w:ascii="宋体" w:hAnsi="宋体" w:cs="宋体"/>
          <w:b/>
          <w:bCs/>
          <w:color w:val="000000"/>
          <w:kern w:val="0"/>
          <w:sz w:val="32"/>
          <w:szCs w:val="32"/>
        </w:rPr>
        <w:t>第三章询比条件</w:t>
      </w:r>
      <w:bookmarkEnd w:id="4"/>
    </w:p>
    <w:p>
      <w:pPr>
        <w:snapToGrid w:val="0"/>
        <w:spacing w:line="520" w:lineRule="atLeast"/>
        <w:rPr>
          <w:rFonts w:ascii="宋体" w:hAnsi="宋体"/>
          <w:b/>
          <w:bCs/>
          <w:sz w:val="28"/>
          <w:szCs w:val="28"/>
        </w:rPr>
      </w:pPr>
      <w:r>
        <w:rPr>
          <w:rFonts w:hint="eastAsia" w:ascii="宋体" w:hAnsi="宋体"/>
          <w:b/>
          <w:bCs/>
          <w:sz w:val="28"/>
          <w:szCs w:val="28"/>
        </w:rPr>
        <w:t>一、项目概况</w:t>
      </w:r>
    </w:p>
    <w:p>
      <w:pPr>
        <w:ind w:firstLine="560" w:firstLineChars="200"/>
        <w:rPr>
          <w:rFonts w:ascii="宋体" w:hAnsi="宋体"/>
          <w:bCs/>
          <w:sz w:val="28"/>
          <w:szCs w:val="28"/>
        </w:rPr>
      </w:pPr>
      <w:r>
        <w:rPr>
          <w:rFonts w:hint="eastAsia" w:ascii="宋体" w:hAnsi="宋体"/>
          <w:bCs/>
          <w:sz w:val="28"/>
          <w:szCs w:val="28"/>
          <w:lang w:val="en-US" w:eastAsia="zh-CN"/>
        </w:rPr>
        <w:t>工作内容</w:t>
      </w:r>
      <w:r>
        <w:rPr>
          <w:rFonts w:hint="eastAsia" w:ascii="宋体" w:hAnsi="宋体"/>
          <w:bCs/>
          <w:sz w:val="28"/>
          <w:szCs w:val="28"/>
        </w:rPr>
        <w:t>包括不限于拆除、装饰、安装、维修、改造、防水、机电维修等。</w:t>
      </w:r>
    </w:p>
    <w:p>
      <w:pPr>
        <w:ind w:firstLine="560" w:firstLineChars="200"/>
        <w:rPr>
          <w:rFonts w:ascii="宋体" w:hAnsi="宋体"/>
          <w:bCs/>
          <w:sz w:val="28"/>
          <w:szCs w:val="28"/>
        </w:rPr>
      </w:pPr>
      <w:r>
        <w:rPr>
          <w:rFonts w:hint="eastAsia" w:ascii="宋体" w:hAnsi="宋体"/>
          <w:bCs/>
          <w:sz w:val="28"/>
          <w:szCs w:val="28"/>
        </w:rPr>
        <w:t>拟公开招</w:t>
      </w:r>
      <w:r>
        <w:rPr>
          <w:rFonts w:hint="eastAsia" w:ascii="宋体" w:hAnsi="宋体"/>
          <w:bCs/>
          <w:sz w:val="28"/>
          <w:szCs w:val="28"/>
          <w:lang w:val="en-US" w:eastAsia="zh-CN"/>
        </w:rPr>
        <w:t>3</w:t>
      </w:r>
      <w:r>
        <w:rPr>
          <w:rFonts w:hint="eastAsia" w:ascii="宋体" w:hAnsi="宋体"/>
          <w:bCs/>
          <w:sz w:val="28"/>
          <w:szCs w:val="28"/>
        </w:rPr>
        <w:t>家造价公司，负责零星项目的概、预算、结算审计等工作。服务内容包括但不限于：（1）对施工图或设计方案质量和深度的复核；（2） 拟应用于该项目的设备、材料清单和预算价、控制价的编制；（3）工程量清单和预算价、控制价的核对；（4）为建设单位合理使用资金提供技术支持与服务，服从市、区审计部门管理；（5）结算审计（6）结算审计公司还应包含对造价编制单位成果的复核。（7）建设单位要求的造价关联的其他咨询服务。</w:t>
      </w:r>
    </w:p>
    <w:p>
      <w:pPr>
        <w:ind w:firstLine="560" w:firstLineChars="200"/>
        <w:rPr>
          <w:rFonts w:ascii="宋体" w:hAnsi="宋体"/>
          <w:bCs/>
          <w:sz w:val="28"/>
          <w:szCs w:val="28"/>
        </w:rPr>
      </w:pPr>
      <w:r>
        <w:rPr>
          <w:rFonts w:hint="eastAsia" w:ascii="宋体" w:hAnsi="宋体"/>
          <w:bCs/>
          <w:sz w:val="28"/>
          <w:szCs w:val="28"/>
        </w:rPr>
        <w:t>服务期：</w:t>
      </w:r>
      <w:r>
        <w:rPr>
          <w:rFonts w:hint="eastAsia" w:ascii="宋体" w:hAnsi="宋体"/>
          <w:bCs/>
          <w:sz w:val="28"/>
          <w:szCs w:val="28"/>
          <w:lang w:val="en-US" w:eastAsia="zh-CN"/>
        </w:rPr>
        <w:t>2</w:t>
      </w:r>
      <w:r>
        <w:rPr>
          <w:rFonts w:hint="eastAsia" w:ascii="宋体" w:hAnsi="宋体"/>
          <w:bCs/>
          <w:sz w:val="28"/>
          <w:szCs w:val="28"/>
        </w:rPr>
        <w:t>年。</w:t>
      </w:r>
    </w:p>
    <w:p>
      <w:pPr>
        <w:numPr>
          <w:ilvl w:val="0"/>
          <w:numId w:val="1"/>
        </w:numPr>
        <w:snapToGrid w:val="0"/>
        <w:spacing w:line="520" w:lineRule="atLeast"/>
        <w:rPr>
          <w:rFonts w:ascii="宋体" w:hAnsi="宋体"/>
          <w:b/>
          <w:bCs/>
          <w:sz w:val="28"/>
          <w:szCs w:val="28"/>
        </w:rPr>
      </w:pPr>
      <w:r>
        <w:rPr>
          <w:rFonts w:hint="eastAsia" w:ascii="宋体" w:hAnsi="宋体"/>
          <w:b/>
          <w:bCs/>
          <w:sz w:val="28"/>
          <w:szCs w:val="28"/>
        </w:rPr>
        <w:t>服务要求</w:t>
      </w:r>
    </w:p>
    <w:p>
      <w:pPr>
        <w:snapToGrid w:val="0"/>
        <w:spacing w:line="520" w:lineRule="atLeast"/>
        <w:ind w:firstLine="560" w:firstLineChars="200"/>
        <w:rPr>
          <w:rFonts w:ascii="宋体" w:hAnsi="宋体"/>
          <w:bCs/>
          <w:sz w:val="28"/>
          <w:szCs w:val="28"/>
        </w:rPr>
      </w:pPr>
      <w:r>
        <w:rPr>
          <w:rFonts w:hint="eastAsia" w:ascii="宋体" w:hAnsi="宋体"/>
          <w:bCs/>
          <w:sz w:val="28"/>
          <w:szCs w:val="28"/>
        </w:rPr>
        <w:t>1.中标单位需派驻专人负责采购方工程造价或审计，派驻团队至少包含一名土建和安装注册造价工程师。且项目负责人不得更换，如更换须经招标人同意，否则视为违约，将解除合同。</w:t>
      </w:r>
    </w:p>
    <w:p>
      <w:pPr>
        <w:snapToGrid w:val="0"/>
        <w:spacing w:line="520" w:lineRule="atLeast"/>
        <w:ind w:firstLine="560" w:firstLineChars="200"/>
        <w:rPr>
          <w:rFonts w:ascii="宋体" w:hAnsi="宋体"/>
          <w:bCs/>
          <w:sz w:val="28"/>
          <w:szCs w:val="28"/>
        </w:rPr>
      </w:pPr>
      <w:r>
        <w:rPr>
          <w:rFonts w:hint="eastAsia" w:ascii="宋体" w:hAnsi="宋体"/>
          <w:bCs/>
          <w:sz w:val="28"/>
          <w:szCs w:val="28"/>
        </w:rPr>
        <w:t>2.遇国家、省、市等各级部门抽查项目造价、审计资料，中标单位须积极配合澄清解释直至抽查结束，抽查过程中发现任何问题由中标单位自行承担。</w:t>
      </w:r>
    </w:p>
    <w:p>
      <w:pPr>
        <w:snapToGrid w:val="0"/>
        <w:spacing w:line="520" w:lineRule="atLeast"/>
        <w:ind w:firstLine="560" w:firstLineChars="200"/>
        <w:rPr>
          <w:rFonts w:ascii="宋体" w:hAnsi="宋体"/>
          <w:bCs/>
          <w:sz w:val="28"/>
          <w:szCs w:val="28"/>
        </w:rPr>
      </w:pPr>
      <w:r>
        <w:rPr>
          <w:rFonts w:hint="eastAsia" w:ascii="宋体" w:hAnsi="宋体"/>
          <w:bCs/>
          <w:sz w:val="28"/>
          <w:szCs w:val="28"/>
        </w:rPr>
        <w:t xml:space="preserve">3.实行项目考核：进行一单一考核，对考核不合格单位给予清退，并限制参加下一年度的招标活动。 </w:t>
      </w:r>
    </w:p>
    <w:p>
      <w:pPr>
        <w:snapToGrid w:val="0"/>
        <w:spacing w:line="520" w:lineRule="atLeast"/>
        <w:ind w:firstLine="560" w:firstLineChars="200"/>
        <w:rPr>
          <w:rFonts w:ascii="宋体" w:hAnsi="宋体"/>
          <w:bCs/>
          <w:sz w:val="28"/>
          <w:szCs w:val="28"/>
        </w:rPr>
      </w:pPr>
      <w:r>
        <w:rPr>
          <w:rFonts w:hint="eastAsia" w:ascii="宋体" w:hAnsi="宋体"/>
          <w:bCs/>
          <w:sz w:val="28"/>
          <w:szCs w:val="28"/>
        </w:rPr>
        <w:t>4.中标单位不得将受托项目转包或分包给其他单位或个人。</w:t>
      </w:r>
    </w:p>
    <w:p>
      <w:pPr>
        <w:snapToGrid w:val="0"/>
        <w:spacing w:line="520" w:lineRule="atLeast"/>
        <w:ind w:firstLine="560" w:firstLineChars="200"/>
        <w:rPr>
          <w:rFonts w:ascii="宋体" w:hAnsi="宋体"/>
          <w:bCs/>
          <w:sz w:val="28"/>
          <w:szCs w:val="28"/>
        </w:rPr>
      </w:pPr>
      <w:r>
        <w:rPr>
          <w:rFonts w:hint="eastAsia" w:ascii="宋体" w:hAnsi="宋体"/>
          <w:bCs/>
          <w:sz w:val="28"/>
          <w:szCs w:val="28"/>
        </w:rPr>
        <w:t>5.严格按国家政策、规范进行造价咨询、清单和预算价编制工作，维护招标人的合法利益，编制成果文件误差率控制在±3%以内。</w:t>
      </w:r>
    </w:p>
    <w:p>
      <w:pPr>
        <w:snapToGrid w:val="0"/>
        <w:spacing w:line="520" w:lineRule="atLeast"/>
        <w:ind w:firstLine="560" w:firstLineChars="200"/>
        <w:rPr>
          <w:rFonts w:ascii="宋体" w:hAnsi="宋体"/>
          <w:bCs/>
          <w:sz w:val="28"/>
          <w:szCs w:val="28"/>
        </w:rPr>
      </w:pPr>
      <w:r>
        <w:rPr>
          <w:rFonts w:hint="eastAsia" w:ascii="宋体" w:hAnsi="宋体"/>
          <w:bCs/>
          <w:sz w:val="28"/>
          <w:szCs w:val="28"/>
        </w:rPr>
        <w:t>6.参与招标人召开的项目相关工作会议，提供造价咨询相关建议。</w:t>
      </w:r>
    </w:p>
    <w:p>
      <w:pPr>
        <w:snapToGrid w:val="0"/>
        <w:spacing w:line="520" w:lineRule="atLeast"/>
        <w:ind w:firstLine="560" w:firstLineChars="200"/>
        <w:rPr>
          <w:rFonts w:ascii="宋体" w:hAnsi="宋体"/>
          <w:bCs/>
          <w:sz w:val="28"/>
          <w:szCs w:val="28"/>
        </w:rPr>
      </w:pPr>
      <w:r>
        <w:rPr>
          <w:rFonts w:hint="eastAsia" w:ascii="宋体" w:hAnsi="宋体"/>
          <w:bCs/>
          <w:sz w:val="28"/>
          <w:szCs w:val="28"/>
        </w:rPr>
        <w:t>7.拟应用于该项目的设备和建筑材料参数、档次、品牌等有关造价方面进行建议工作。</w:t>
      </w:r>
    </w:p>
    <w:p>
      <w:pPr>
        <w:snapToGrid w:val="0"/>
        <w:spacing w:line="520" w:lineRule="atLeast"/>
        <w:ind w:firstLine="560" w:firstLineChars="200"/>
        <w:rPr>
          <w:rFonts w:ascii="宋体" w:hAnsi="宋体"/>
          <w:bCs/>
          <w:sz w:val="28"/>
          <w:szCs w:val="28"/>
        </w:rPr>
      </w:pPr>
      <w:r>
        <w:rPr>
          <w:rFonts w:hint="eastAsia" w:ascii="宋体" w:hAnsi="宋体"/>
          <w:bCs/>
          <w:sz w:val="28"/>
          <w:szCs w:val="28"/>
        </w:rPr>
        <w:t>8.前期与造价咨询相关的设计或招标人对接工作。</w:t>
      </w:r>
    </w:p>
    <w:p>
      <w:pPr>
        <w:snapToGrid w:val="0"/>
        <w:spacing w:line="520" w:lineRule="atLeast"/>
        <w:ind w:firstLine="560" w:firstLineChars="200"/>
        <w:rPr>
          <w:rFonts w:ascii="宋体" w:hAnsi="宋体"/>
          <w:bCs/>
          <w:sz w:val="28"/>
          <w:szCs w:val="28"/>
        </w:rPr>
      </w:pPr>
      <w:r>
        <w:rPr>
          <w:rFonts w:hint="eastAsia" w:ascii="宋体" w:hAnsi="宋体"/>
          <w:bCs/>
          <w:sz w:val="28"/>
          <w:szCs w:val="28"/>
        </w:rPr>
        <w:t>9.配合工程量清单及预算价、结算审计方面的答疑。</w:t>
      </w:r>
    </w:p>
    <w:p>
      <w:pPr>
        <w:widowControl/>
        <w:snapToGrid w:val="0"/>
        <w:spacing w:line="520" w:lineRule="atLeast"/>
        <w:jc w:val="left"/>
        <w:rPr>
          <w:rFonts w:ascii="宋体" w:hAnsi="宋体"/>
          <w:b/>
          <w:bCs/>
          <w:sz w:val="28"/>
          <w:szCs w:val="28"/>
        </w:rPr>
      </w:pPr>
      <w:r>
        <w:rPr>
          <w:rFonts w:hint="eastAsia" w:ascii="宋体" w:hAnsi="宋体"/>
          <w:b/>
          <w:bCs/>
          <w:sz w:val="28"/>
          <w:szCs w:val="28"/>
        </w:rPr>
        <w:t>三、项目预算：</w:t>
      </w:r>
      <w:r>
        <w:rPr>
          <w:rFonts w:hint="eastAsia" w:ascii="Times New Roman" w:hAnsi="Times New Roman" w:eastAsia="宋体" w:cs="Times New Roman"/>
          <w:b/>
          <w:sz w:val="28"/>
          <w:szCs w:val="24"/>
        </w:rPr>
        <w:t>约5万元/年。</w:t>
      </w:r>
    </w:p>
    <w:p>
      <w:pPr>
        <w:ind w:firstLine="1687" w:firstLineChars="600"/>
        <w:rPr>
          <w:rFonts w:ascii="Times New Roman" w:hAnsi="Times New Roman" w:eastAsia="宋体" w:cs="Times New Roman"/>
          <w:b/>
          <w:sz w:val="28"/>
          <w:szCs w:val="24"/>
        </w:rPr>
      </w:pPr>
      <w:r>
        <w:rPr>
          <w:rFonts w:hint="eastAsia" w:ascii="Times New Roman" w:hAnsi="Times New Roman" w:eastAsia="宋体" w:cs="Times New Roman"/>
          <w:b/>
          <w:sz w:val="28"/>
          <w:szCs w:val="24"/>
        </w:rPr>
        <w:t>其中具体预算收费见下表单位：元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685"/>
        <w:gridCol w:w="234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1850" w:type="dxa"/>
            <w:vMerge w:val="restart"/>
          </w:tcPr>
          <w:p>
            <w:pPr>
              <w:spacing w:after="12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合同金额</w:t>
            </w:r>
          </w:p>
        </w:tc>
        <w:tc>
          <w:tcPr>
            <w:tcW w:w="5029" w:type="dxa"/>
            <w:gridSpan w:val="2"/>
          </w:tcPr>
          <w:p>
            <w:pPr>
              <w:spacing w:after="120"/>
              <w:ind w:left="420" w:leftChars="200" w:firstLine="562" w:firstLineChars="200"/>
              <w:jc w:val="center"/>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收费类型、及最高预算</w:t>
            </w:r>
          </w:p>
        </w:tc>
        <w:tc>
          <w:tcPr>
            <w:tcW w:w="1643" w:type="dxa"/>
            <w:vMerge w:val="restart"/>
          </w:tcPr>
          <w:p>
            <w:pPr>
              <w:spacing w:after="120"/>
              <w:ind w:left="420" w:leftChars="200" w:firstLine="400" w:firstLineChars="200"/>
              <w:jc w:val="left"/>
              <w:rPr>
                <w:rFonts w:ascii="Times New Roman" w:hAnsi="Times New Roman" w:eastAsia="宋体" w:cs="Times New Roman"/>
                <w:kern w:val="0"/>
                <w:sz w:val="20"/>
                <w:szCs w:val="24"/>
              </w:rPr>
            </w:pPr>
          </w:p>
          <w:p>
            <w:pPr>
              <w:rPr>
                <w:rFonts w:ascii="Times New Roman" w:hAnsi="Times New Roman" w:eastAsia="宋体" w:cs="Times New Roman"/>
                <w:kern w:val="0"/>
                <w:sz w:val="20"/>
                <w:szCs w:val="24"/>
              </w:rPr>
            </w:pPr>
          </w:p>
          <w:p>
            <w:pPr>
              <w:ind w:firstLine="546"/>
              <w:jc w:val="left"/>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0" w:type="dxa"/>
            <w:vMerge w:val="continue"/>
          </w:tcPr>
          <w:p>
            <w:pPr>
              <w:spacing w:after="120"/>
              <w:ind w:left="420" w:leftChars="200" w:firstLine="400" w:firstLineChars="200"/>
              <w:jc w:val="center"/>
              <w:rPr>
                <w:rFonts w:ascii="Times New Roman" w:hAnsi="Times New Roman" w:eastAsia="宋体" w:cs="Times New Roman"/>
                <w:kern w:val="0"/>
                <w:sz w:val="20"/>
                <w:szCs w:val="24"/>
              </w:rPr>
            </w:pPr>
          </w:p>
        </w:tc>
        <w:tc>
          <w:tcPr>
            <w:tcW w:w="2685" w:type="dxa"/>
          </w:tcPr>
          <w:p>
            <w:pPr>
              <w:spacing w:after="120"/>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清单、预算控制价</w:t>
            </w:r>
          </w:p>
        </w:tc>
        <w:tc>
          <w:tcPr>
            <w:tcW w:w="2344" w:type="dxa"/>
          </w:tcPr>
          <w:p>
            <w:pPr>
              <w:spacing w:after="120"/>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复核、结算审计</w:t>
            </w:r>
          </w:p>
        </w:tc>
        <w:tc>
          <w:tcPr>
            <w:tcW w:w="1643" w:type="dxa"/>
            <w:vMerge w:val="continue"/>
          </w:tcPr>
          <w:p>
            <w:pPr>
              <w:spacing w:after="120"/>
              <w:ind w:left="420" w:leftChars="200" w:firstLine="562" w:firstLineChars="200"/>
              <w:jc w:val="center"/>
              <w:rPr>
                <w:rFonts w:ascii="Times New Roman" w:hAnsi="Times New Roman" w:eastAsia="宋体" w:cs="Times New Roman"/>
                <w:b/>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pPr>
              <w:spacing w:after="120"/>
              <w:jc w:val="left"/>
              <w:rPr>
                <w:rFonts w:ascii="Times New Roman" w:hAnsi="Times New Roman" w:eastAsia="宋体" w:cs="Times New Roman"/>
                <w:b/>
                <w:kern w:val="0"/>
                <w:sz w:val="28"/>
                <w:szCs w:val="24"/>
              </w:rPr>
            </w:pPr>
            <w:r>
              <w:rPr>
                <w:rFonts w:ascii="Arial" w:hAnsi="Arial" w:eastAsia="宋体" w:cs="Arial"/>
                <w:b/>
                <w:kern w:val="0"/>
                <w:sz w:val="28"/>
                <w:szCs w:val="24"/>
              </w:rPr>
              <w:t>˂</w:t>
            </w:r>
            <w:r>
              <w:rPr>
                <w:rFonts w:hint="eastAsia" w:ascii="Times New Roman" w:hAnsi="Times New Roman" w:eastAsia="宋体" w:cs="Times New Roman"/>
                <w:b/>
                <w:kern w:val="0"/>
                <w:sz w:val="28"/>
                <w:szCs w:val="24"/>
              </w:rPr>
              <w:t>5000</w:t>
            </w:r>
          </w:p>
        </w:tc>
        <w:tc>
          <w:tcPr>
            <w:tcW w:w="2685"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500</w:t>
            </w:r>
          </w:p>
        </w:tc>
        <w:tc>
          <w:tcPr>
            <w:tcW w:w="2344"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700</w:t>
            </w:r>
          </w:p>
        </w:tc>
        <w:tc>
          <w:tcPr>
            <w:tcW w:w="1643" w:type="dxa"/>
            <w:vMerge w:val="restart"/>
          </w:tcPr>
          <w:p>
            <w:pPr>
              <w:numPr>
                <w:ilvl w:val="0"/>
                <w:numId w:val="2"/>
              </w:numPr>
              <w:spacing w:after="120" w:line="440" w:lineRule="exact"/>
              <w:rPr>
                <w:rFonts w:ascii="Times New Roman" w:hAnsi="Times New Roman" w:eastAsia="宋体" w:cs="Times New Roman"/>
                <w:kern w:val="0"/>
                <w:sz w:val="21"/>
                <w:szCs w:val="24"/>
              </w:rPr>
            </w:pPr>
            <w:r>
              <w:rPr>
                <w:rFonts w:hint="eastAsia" w:ascii="Times New Roman" w:hAnsi="Times New Roman" w:eastAsia="宋体" w:cs="Times New Roman"/>
                <w:kern w:val="0"/>
                <w:sz w:val="21"/>
                <w:szCs w:val="24"/>
              </w:rPr>
              <w:t>审计单位需对清单预算编制成果复核。</w:t>
            </w:r>
          </w:p>
          <w:p>
            <w:pPr>
              <w:numPr>
                <w:ilvl w:val="0"/>
                <w:numId w:val="2"/>
              </w:numPr>
              <w:rPr>
                <w:rFonts w:ascii="Times New Roman" w:hAnsi="Times New Roman" w:eastAsia="宋体" w:cs="Times New Roman"/>
                <w:kern w:val="0"/>
                <w:sz w:val="20"/>
                <w:szCs w:val="24"/>
              </w:rPr>
            </w:pPr>
            <w:r>
              <w:rPr>
                <w:rFonts w:hint="eastAsia" w:ascii="Times New Roman" w:hAnsi="Times New Roman" w:eastAsia="宋体" w:cs="Times New Roman"/>
                <w:kern w:val="0"/>
                <w:sz w:val="21"/>
                <w:szCs w:val="24"/>
              </w:rPr>
              <w:t>编制和审计单位须现场踏勘测量、核对。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pPr>
              <w:spacing w:after="12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5000-10000</w:t>
            </w:r>
          </w:p>
        </w:tc>
        <w:tc>
          <w:tcPr>
            <w:tcW w:w="2685"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700</w:t>
            </w:r>
          </w:p>
        </w:tc>
        <w:tc>
          <w:tcPr>
            <w:tcW w:w="2344"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1000</w:t>
            </w:r>
          </w:p>
        </w:tc>
        <w:tc>
          <w:tcPr>
            <w:tcW w:w="1643" w:type="dxa"/>
            <w:vMerge w:val="continue"/>
          </w:tcPr>
          <w:p>
            <w:pPr>
              <w:spacing w:after="120"/>
              <w:ind w:left="420" w:leftChars="200" w:firstLine="562" w:firstLineChars="200"/>
              <w:rPr>
                <w:rFonts w:ascii="Times New Roman" w:hAnsi="Times New Roman" w:eastAsia="宋体" w:cs="Times New Roman"/>
                <w:b/>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pPr>
              <w:spacing w:after="12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10000-50000</w:t>
            </w:r>
          </w:p>
        </w:tc>
        <w:tc>
          <w:tcPr>
            <w:tcW w:w="2685"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1000</w:t>
            </w:r>
          </w:p>
        </w:tc>
        <w:tc>
          <w:tcPr>
            <w:tcW w:w="2344"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1500</w:t>
            </w:r>
          </w:p>
        </w:tc>
        <w:tc>
          <w:tcPr>
            <w:tcW w:w="1643" w:type="dxa"/>
            <w:vMerge w:val="continue"/>
          </w:tcPr>
          <w:p>
            <w:pPr>
              <w:spacing w:after="120"/>
              <w:ind w:left="420" w:leftChars="200" w:firstLine="562" w:firstLineChars="200"/>
              <w:rPr>
                <w:rFonts w:ascii="Times New Roman" w:hAnsi="Times New Roman" w:eastAsia="宋体" w:cs="Times New Roman"/>
                <w:b/>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pPr>
              <w:spacing w:after="12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50000-300000</w:t>
            </w:r>
          </w:p>
        </w:tc>
        <w:tc>
          <w:tcPr>
            <w:tcW w:w="2685"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3000</w:t>
            </w:r>
          </w:p>
        </w:tc>
        <w:tc>
          <w:tcPr>
            <w:tcW w:w="2344" w:type="dxa"/>
          </w:tcPr>
          <w:p>
            <w:pPr>
              <w:spacing w:after="120"/>
              <w:ind w:left="420" w:leftChars="200" w:firstLine="562" w:firstLineChars="200"/>
              <w:jc w:val="left"/>
              <w:rPr>
                <w:rFonts w:ascii="Times New Roman" w:hAnsi="Times New Roman" w:eastAsia="宋体" w:cs="Times New Roman"/>
                <w:b/>
                <w:kern w:val="0"/>
                <w:sz w:val="28"/>
                <w:szCs w:val="24"/>
              </w:rPr>
            </w:pPr>
            <w:r>
              <w:rPr>
                <w:rFonts w:hint="eastAsia" w:ascii="Times New Roman" w:hAnsi="Times New Roman" w:eastAsia="宋体" w:cs="Times New Roman"/>
                <w:b/>
                <w:kern w:val="0"/>
                <w:sz w:val="28"/>
                <w:szCs w:val="24"/>
              </w:rPr>
              <w:t>4000</w:t>
            </w:r>
          </w:p>
        </w:tc>
        <w:tc>
          <w:tcPr>
            <w:tcW w:w="1643" w:type="dxa"/>
            <w:vMerge w:val="continue"/>
          </w:tcPr>
          <w:p>
            <w:pPr>
              <w:spacing w:after="120"/>
              <w:ind w:left="420" w:leftChars="200" w:firstLine="562" w:firstLineChars="200"/>
              <w:rPr>
                <w:rFonts w:ascii="Times New Roman" w:hAnsi="Times New Roman" w:eastAsia="宋体" w:cs="Times New Roman"/>
                <w:b/>
                <w:kern w:val="0"/>
                <w:sz w:val="28"/>
                <w:szCs w:val="24"/>
              </w:rPr>
            </w:pPr>
          </w:p>
        </w:tc>
      </w:tr>
    </w:tbl>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br w:type="page"/>
      </w:r>
    </w:p>
    <w:p>
      <w:pPr>
        <w:widowControl/>
        <w:shd w:val="clear" w:color="auto" w:fill="FFFFFF"/>
        <w:spacing w:before="100" w:beforeAutospacing="1" w:after="100" w:afterAutospacing="1" w:line="440" w:lineRule="atLeast"/>
        <w:jc w:val="center"/>
        <w:outlineLvl w:val="0"/>
        <w:rPr>
          <w:rFonts w:ascii="宋体" w:hAnsi="宋体" w:cs="宋体"/>
          <w:color w:val="000000"/>
          <w:kern w:val="0"/>
          <w:sz w:val="24"/>
          <w:szCs w:val="24"/>
        </w:rPr>
      </w:pPr>
      <w:bookmarkStart w:id="5" w:name="_Toc118998702"/>
      <w:r>
        <w:rPr>
          <w:rFonts w:hint="eastAsia" w:ascii="宋体" w:hAnsi="宋体" w:cs="宋体"/>
          <w:b/>
          <w:bCs/>
          <w:color w:val="000000"/>
          <w:kern w:val="0"/>
          <w:sz w:val="32"/>
          <w:szCs w:val="32"/>
        </w:rPr>
        <w:t>第四章  评标办法</w:t>
      </w:r>
      <w:bookmarkEnd w:id="5"/>
    </w:p>
    <w:p>
      <w:pPr>
        <w:widowControl/>
        <w:shd w:val="clear" w:color="auto" w:fill="FFFFFF"/>
        <w:spacing w:before="100" w:beforeAutospacing="1" w:after="100" w:afterAutospacing="1" w:line="400" w:lineRule="atLeast"/>
        <w:ind w:right="-21"/>
        <w:jc w:val="center"/>
        <w:rPr>
          <w:rFonts w:ascii="宋体" w:hAnsi="宋体" w:cs="宋体"/>
          <w:color w:val="000000"/>
          <w:kern w:val="0"/>
          <w:sz w:val="24"/>
          <w:szCs w:val="24"/>
        </w:rPr>
      </w:pPr>
      <w:r>
        <w:rPr>
          <w:rFonts w:hint="eastAsia" w:ascii="宋体" w:hAnsi="宋体" w:cs="宋体"/>
          <w:b/>
          <w:bCs/>
          <w:color w:val="000000"/>
          <w:kern w:val="0"/>
          <w:sz w:val="24"/>
          <w:szCs w:val="24"/>
        </w:rPr>
        <w:t>一、总  则</w:t>
      </w:r>
    </w:p>
    <w:p>
      <w:pPr>
        <w:widowControl/>
        <w:shd w:val="clear" w:color="auto" w:fill="FFFFFF"/>
        <w:spacing w:before="100" w:beforeAutospacing="1" w:after="100" w:afterAutospacing="1" w:line="440" w:lineRule="atLeast"/>
        <w:ind w:right="-10" w:firstLine="420"/>
        <w:rPr>
          <w:rFonts w:ascii="宋体" w:hAnsi="宋体" w:cs="宋体"/>
          <w:color w:val="000000"/>
          <w:kern w:val="0"/>
          <w:sz w:val="24"/>
          <w:szCs w:val="24"/>
        </w:rPr>
      </w:pPr>
      <w:r>
        <w:rPr>
          <w:rFonts w:hint="eastAsia" w:ascii="宋体" w:hAnsi="宋体" w:cs="宋体"/>
          <w:b/>
          <w:bCs/>
          <w:color w:val="000000"/>
          <w:kern w:val="0"/>
          <w:sz w:val="24"/>
          <w:szCs w:val="24"/>
        </w:rPr>
        <w:t>第一条 </w:t>
      </w:r>
      <w:r>
        <w:rPr>
          <w:rFonts w:hint="eastAsia" w:ascii="宋体" w:hAnsi="宋体" w:cs="宋体"/>
          <w:color w:val="000000"/>
          <w:kern w:val="0"/>
          <w:sz w:val="24"/>
          <w:szCs w:val="24"/>
        </w:rPr>
        <w:t>为了做好</w:t>
      </w:r>
      <w:r>
        <w:rPr>
          <w:rFonts w:hint="eastAsia" w:ascii="宋体" w:hAnsi="宋体"/>
          <w:b/>
          <w:sz w:val="24"/>
          <w:szCs w:val="24"/>
        </w:rPr>
        <w:t>蚌埠</w:t>
      </w:r>
      <w:r>
        <w:rPr>
          <w:rFonts w:hint="eastAsia" w:ascii="宋体" w:hAnsi="宋体"/>
          <w:b/>
          <w:sz w:val="24"/>
          <w:szCs w:val="24"/>
          <w:lang w:val="en-US" w:eastAsia="zh-CN"/>
        </w:rPr>
        <w:t>市中医医院住院综合楼造价咨询服务</w:t>
      </w:r>
      <w:r>
        <w:rPr>
          <w:rFonts w:hint="eastAsia" w:ascii="宋体" w:hAnsi="宋体" w:cs="宋体"/>
          <w:color w:val="000000"/>
          <w:kern w:val="0"/>
          <w:sz w:val="24"/>
          <w:szCs w:val="24"/>
        </w:rPr>
        <w:t>项目</w:t>
      </w:r>
      <w:r>
        <w:rPr>
          <w:rFonts w:hint="eastAsia" w:ascii="宋体" w:hAnsi="宋体"/>
          <w:b/>
          <w:sz w:val="24"/>
          <w:szCs w:val="24"/>
        </w:rPr>
        <w:t>询比</w:t>
      </w:r>
      <w:r>
        <w:rPr>
          <w:rFonts w:hint="eastAsia" w:ascii="宋体" w:hAnsi="宋体" w:cs="宋体"/>
          <w:color w:val="000000"/>
          <w:kern w:val="0"/>
          <w:sz w:val="24"/>
          <w:szCs w:val="24"/>
        </w:rPr>
        <w:t>工作，保证项目评审工作的正常有序进行，维护采购人、询比人的合法权益，依据相关法律法规，本着公开、公平、公正的原则，制定评标办法。</w:t>
      </w:r>
    </w:p>
    <w:p>
      <w:pPr>
        <w:widowControl/>
        <w:shd w:val="clear" w:color="auto" w:fill="FFFFFF"/>
        <w:spacing w:before="100" w:beforeAutospacing="1" w:after="100" w:afterAutospacing="1" w:line="440" w:lineRule="atLeast"/>
        <w:ind w:right="-10" w:firstLine="420"/>
        <w:jc w:val="left"/>
      </w:pPr>
      <w:r>
        <w:rPr>
          <w:rFonts w:hint="eastAsia" w:ascii="宋体" w:hAnsi="宋体" w:cs="宋体"/>
          <w:b/>
          <w:bCs/>
          <w:color w:val="000000"/>
          <w:kern w:val="0"/>
          <w:sz w:val="24"/>
          <w:szCs w:val="24"/>
        </w:rPr>
        <w:t>第二条 </w:t>
      </w:r>
      <w:r>
        <w:rPr>
          <w:rFonts w:hint="eastAsia" w:ascii="宋体" w:hAnsi="宋体" w:cs="宋体"/>
          <w:color w:val="000000"/>
          <w:kern w:val="0"/>
          <w:sz w:val="24"/>
          <w:szCs w:val="24"/>
        </w:rPr>
        <w:t>本次评标采用询比方式。</w:t>
      </w:r>
    </w:p>
    <w:p>
      <w:pPr>
        <w:widowControl/>
        <w:shd w:val="clear" w:color="auto" w:fill="FFFFFF"/>
        <w:spacing w:before="100" w:beforeAutospacing="1" w:after="100" w:afterAutospacing="1" w:line="440" w:lineRule="atLeast"/>
        <w:ind w:left="-61" w:right="-10" w:firstLine="480"/>
        <w:rPr>
          <w:rFonts w:ascii="宋体" w:hAnsi="宋体" w:cs="宋体"/>
          <w:color w:val="000000"/>
          <w:kern w:val="0"/>
          <w:sz w:val="24"/>
          <w:szCs w:val="24"/>
        </w:rPr>
      </w:pPr>
      <w:r>
        <w:rPr>
          <w:rFonts w:hint="eastAsia" w:ascii="宋体" w:hAnsi="宋体" w:cs="宋体"/>
          <w:b/>
          <w:bCs/>
          <w:color w:val="000000"/>
          <w:kern w:val="0"/>
          <w:sz w:val="24"/>
          <w:szCs w:val="24"/>
        </w:rPr>
        <w:t>第三条 </w:t>
      </w:r>
      <w:r>
        <w:rPr>
          <w:rFonts w:hint="eastAsia" w:ascii="宋体" w:hAnsi="宋体" w:cs="宋体"/>
          <w:color w:val="000000"/>
          <w:kern w:val="0"/>
          <w:sz w:val="24"/>
          <w:szCs w:val="24"/>
        </w:rPr>
        <w:t>采购人或招标代理部门负责组织不少于</w:t>
      </w:r>
      <w:r>
        <w:rPr>
          <w:rFonts w:hint="eastAsia" w:ascii="宋体" w:hAnsi="宋体" w:cs="宋体"/>
          <w:color w:val="000000"/>
          <w:kern w:val="0"/>
          <w:sz w:val="24"/>
          <w:szCs w:val="24"/>
          <w:u w:val="single"/>
        </w:rPr>
        <w:t> 3</w:t>
      </w:r>
      <w:r>
        <w:rPr>
          <w:rFonts w:hint="eastAsia" w:ascii="宋体" w:hAnsi="宋体" w:cs="宋体"/>
          <w:color w:val="000000"/>
          <w:kern w:val="0"/>
          <w:sz w:val="24"/>
          <w:szCs w:val="24"/>
        </w:rPr>
        <w:t>人组成的询比小组（以下简称小组），负责本项目的评标工作。</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第四条 </w:t>
      </w:r>
      <w:r>
        <w:rPr>
          <w:rFonts w:hint="eastAsia" w:ascii="宋体" w:hAnsi="宋体" w:cs="宋体"/>
          <w:color w:val="000000"/>
          <w:kern w:val="0"/>
          <w:sz w:val="24"/>
          <w:szCs w:val="24"/>
        </w:rPr>
        <w:t>询比小组按照“客观公正，实事求是”的原则，评价参加本次询比人所提供的产品价格、性能、质量、服务及对询比文件的符合性及响应性。</w:t>
      </w:r>
    </w:p>
    <w:p>
      <w:pPr>
        <w:widowControl/>
        <w:shd w:val="clear" w:color="auto" w:fill="FFFFFF"/>
        <w:spacing w:before="100" w:beforeAutospacing="1" w:after="100" w:afterAutospacing="1" w:line="440" w:lineRule="atLeast"/>
        <w:ind w:right="-10"/>
        <w:jc w:val="center"/>
        <w:rPr>
          <w:rFonts w:ascii="宋体" w:hAnsi="宋体" w:cs="宋体"/>
          <w:color w:val="000000"/>
          <w:kern w:val="0"/>
          <w:sz w:val="24"/>
          <w:szCs w:val="24"/>
        </w:rPr>
      </w:pPr>
      <w:r>
        <w:rPr>
          <w:rFonts w:hint="eastAsia" w:ascii="宋体" w:hAnsi="宋体" w:cs="宋体"/>
          <w:b/>
          <w:bCs/>
          <w:color w:val="000000"/>
          <w:kern w:val="0"/>
          <w:sz w:val="24"/>
          <w:szCs w:val="24"/>
        </w:rPr>
        <w:t>二、评标程序及评审细则</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bookmarkStart w:id="6" w:name="_Toc220232409"/>
      <w:bookmarkEnd w:id="6"/>
      <w:r>
        <w:rPr>
          <w:rFonts w:hint="eastAsia" w:ascii="宋体" w:hAnsi="宋体" w:cs="宋体"/>
          <w:b/>
          <w:bCs/>
          <w:color w:val="000000"/>
          <w:kern w:val="0"/>
          <w:sz w:val="24"/>
          <w:szCs w:val="24"/>
        </w:rPr>
        <w:t>第五条</w:t>
      </w:r>
      <w:r>
        <w:rPr>
          <w:rFonts w:hint="eastAsia" w:ascii="宋体" w:hAnsi="宋体" w:cs="宋体"/>
          <w:color w:val="000000"/>
          <w:kern w:val="0"/>
          <w:sz w:val="24"/>
          <w:szCs w:val="24"/>
        </w:rPr>
        <w:t> 评标工作于开标后进行。询比小组应认真研究询比文件，至少应了解和熟悉以下内容：</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（一）询比的目标；</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（二）询比项目的范围和性质；</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（三）询比文件中规定的主要技术要求、标准和商务条款；</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（四）询比文件规定的评标标准、评标方法和在评标过程中须考虑的相关因素。</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第六条</w:t>
      </w:r>
      <w:r>
        <w:rPr>
          <w:rFonts w:hint="eastAsia" w:ascii="宋体" w:hAnsi="宋体" w:cs="宋体"/>
          <w:color w:val="000000"/>
          <w:kern w:val="0"/>
          <w:sz w:val="24"/>
          <w:szCs w:val="24"/>
        </w:rPr>
        <w:t> 有效投标应符合以下条件，否则为无效投标：</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（一）满足询比文件的实质性要求；</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（二）无重大偏离、保留或采购人不能接受的附加条件；</w:t>
      </w:r>
    </w:p>
    <w:p>
      <w:pPr>
        <w:widowControl/>
        <w:shd w:val="clear" w:color="auto" w:fill="FFFFFF"/>
        <w:spacing w:before="100" w:beforeAutospacing="1" w:after="100" w:afterAutospacing="1" w:line="440" w:lineRule="atLeast"/>
        <w:ind w:left="480" w:right="-10"/>
        <w:rPr>
          <w:rFonts w:ascii="宋体" w:hAnsi="宋体" w:cs="宋体"/>
          <w:color w:val="000000"/>
          <w:kern w:val="0"/>
          <w:sz w:val="24"/>
          <w:szCs w:val="24"/>
        </w:rPr>
      </w:pPr>
      <w:r>
        <w:rPr>
          <w:rFonts w:hint="eastAsia" w:ascii="宋体" w:hAnsi="宋体" w:cs="宋体"/>
          <w:color w:val="000000"/>
          <w:kern w:val="0"/>
          <w:sz w:val="24"/>
          <w:szCs w:val="24"/>
        </w:rPr>
        <w:t>（三）通过投标有效性评审；</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color w:val="000000"/>
          <w:kern w:val="0"/>
          <w:sz w:val="24"/>
          <w:szCs w:val="24"/>
        </w:rPr>
        <w:t>（四）报价不得等于或高于最高投标限价；</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color w:val="000000"/>
          <w:kern w:val="0"/>
          <w:sz w:val="24"/>
          <w:szCs w:val="24"/>
        </w:rPr>
        <w:t>（五）报价不低于投标成本；</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color w:val="000000"/>
          <w:kern w:val="0"/>
          <w:sz w:val="24"/>
          <w:szCs w:val="24"/>
        </w:rPr>
        <w:t>（六）询比小组依据询比文件认定的其他原则。</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第七条 </w:t>
      </w:r>
      <w:r>
        <w:rPr>
          <w:rFonts w:hint="eastAsia" w:ascii="宋体" w:hAnsi="宋体" w:cs="宋体"/>
          <w:color w:val="000000"/>
          <w:kern w:val="0"/>
          <w:sz w:val="24"/>
          <w:szCs w:val="24"/>
        </w:rPr>
        <w:t>询比小组应对询比人的询比响应文件进行独立评审。</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第八条</w:t>
      </w:r>
      <w:r>
        <w:rPr>
          <w:rFonts w:hint="eastAsia" w:ascii="宋体" w:hAnsi="宋体" w:cs="宋体"/>
          <w:color w:val="000000"/>
          <w:kern w:val="0"/>
          <w:sz w:val="24"/>
          <w:szCs w:val="24"/>
        </w:rPr>
        <w:t> 评审结论分为通过和未通过。对被否决投标的询比人，评委要提出充足的否定理由，并填写在评标报告中。</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b/>
          <w:bCs/>
          <w:color w:val="000000"/>
          <w:kern w:val="0"/>
          <w:sz w:val="24"/>
          <w:szCs w:val="24"/>
        </w:rPr>
        <w:t>第九条 </w:t>
      </w:r>
      <w:r>
        <w:rPr>
          <w:rFonts w:hint="eastAsia" w:ascii="宋体" w:hAnsi="宋体" w:cs="宋体"/>
          <w:color w:val="000000"/>
          <w:kern w:val="0"/>
          <w:sz w:val="24"/>
          <w:szCs w:val="24"/>
        </w:rPr>
        <w:t>询比小组成员依据询比文件的要求，对所有询比人提交的询比响应文件进行初步评审，初步评审包括资格评审和符合性评审，评审指标如下：</w:t>
      </w:r>
    </w:p>
    <w:tbl>
      <w:tblPr>
        <w:tblStyle w:val="5"/>
        <w:tblW w:w="0" w:type="auto"/>
        <w:jc w:val="center"/>
        <w:tblLayout w:type="autofit"/>
        <w:tblCellMar>
          <w:top w:w="0" w:type="dxa"/>
          <w:left w:w="0" w:type="dxa"/>
          <w:bottom w:w="0" w:type="dxa"/>
          <w:right w:w="0" w:type="dxa"/>
        </w:tblCellMar>
      </w:tblPr>
      <w:tblGrid>
        <w:gridCol w:w="703"/>
        <w:gridCol w:w="689"/>
        <w:gridCol w:w="2607"/>
        <w:gridCol w:w="4327"/>
      </w:tblGrid>
      <w:tr>
        <w:tblPrEx>
          <w:tblCellMar>
            <w:top w:w="0" w:type="dxa"/>
            <w:left w:w="0" w:type="dxa"/>
            <w:bottom w:w="0" w:type="dxa"/>
            <w:right w:w="0" w:type="dxa"/>
          </w:tblCellMar>
        </w:tblPrEx>
        <w:trPr>
          <w:trHeight w:val="386" w:hRule="atLeast"/>
          <w:jc w:val="center"/>
        </w:trPr>
        <w:tc>
          <w:tcPr>
            <w:tcW w:w="70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序号</w:t>
            </w:r>
          </w:p>
        </w:tc>
        <w:tc>
          <w:tcPr>
            <w:tcW w:w="6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内容</w:t>
            </w: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评审因素</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评审标准</w:t>
            </w:r>
          </w:p>
        </w:tc>
      </w:tr>
      <w:tr>
        <w:tblPrEx>
          <w:tblCellMar>
            <w:top w:w="0" w:type="dxa"/>
            <w:left w:w="0" w:type="dxa"/>
            <w:bottom w:w="0" w:type="dxa"/>
            <w:right w:w="0" w:type="dxa"/>
          </w:tblCellMar>
        </w:tblPrEx>
        <w:trPr>
          <w:trHeight w:val="829" w:hRule="atLeast"/>
          <w:jc w:val="center"/>
        </w:trPr>
        <w:tc>
          <w:tcPr>
            <w:tcW w:w="703" w:type="dxa"/>
            <w:vMerge w:val="restart"/>
            <w:tcBorders>
              <w:top w:val="single" w:color="auto" w:sz="8" w:space="0"/>
              <w:left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1</w:t>
            </w:r>
          </w:p>
        </w:tc>
        <w:tc>
          <w:tcPr>
            <w:tcW w:w="689" w:type="dxa"/>
            <w:vMerge w:val="restart"/>
            <w:tcBorders>
              <w:top w:val="single" w:color="auto" w:sz="8" w:space="0"/>
              <w:left w:val="single" w:color="auto" w:sz="8" w:space="0"/>
              <w:right w:val="single" w:color="auto" w:sz="8" w:space="0"/>
            </w:tcBorders>
            <w:vAlign w:val="center"/>
          </w:tcPr>
          <w:p>
            <w:pPr>
              <w:widowControl/>
              <w:spacing w:before="100" w:beforeAutospacing="1" w:after="100" w:afterAutospacing="1" w:line="360" w:lineRule="atLeast"/>
              <w:ind w:firstLine="16"/>
              <w:jc w:val="center"/>
              <w:rPr>
                <w:rFonts w:ascii="宋体" w:hAnsi="宋体" w:cs="宋体"/>
                <w:kern w:val="0"/>
                <w:sz w:val="24"/>
                <w:szCs w:val="24"/>
              </w:rPr>
            </w:pPr>
            <w:r>
              <w:rPr>
                <w:rFonts w:hint="eastAsia" w:ascii="宋体" w:hAnsi="宋体" w:cs="宋体"/>
                <w:color w:val="000000"/>
                <w:kern w:val="0"/>
                <w:sz w:val="24"/>
                <w:szCs w:val="24"/>
              </w:rPr>
              <w:t>资格评审标准</w:t>
            </w: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有效的营业执照（副本）</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查验证书复印件或影印件</w:t>
            </w:r>
          </w:p>
        </w:tc>
      </w:tr>
      <w:tr>
        <w:tblPrEx>
          <w:tblCellMar>
            <w:top w:w="0" w:type="dxa"/>
            <w:left w:w="0" w:type="dxa"/>
            <w:bottom w:w="0" w:type="dxa"/>
            <w:right w:w="0" w:type="dxa"/>
          </w:tblCellMar>
        </w:tblPrEx>
        <w:trPr>
          <w:trHeight w:val="1408" w:hRule="atLeast"/>
          <w:jc w:val="center"/>
        </w:trPr>
        <w:tc>
          <w:tcPr>
            <w:tcW w:w="0" w:type="auto"/>
            <w:vMerge w:val="continue"/>
            <w:tcBorders>
              <w:left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left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具有相应的造价、审计能力，具备法律法规规定的执业资格</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color w:val="000000"/>
                <w:kern w:val="0"/>
                <w:sz w:val="24"/>
                <w:szCs w:val="24"/>
              </w:rPr>
            </w:pPr>
            <w:r>
              <w:rPr>
                <w:rFonts w:hint="eastAsia" w:ascii="宋体" w:hAnsi="宋体" w:cs="宋体"/>
                <w:color w:val="000000"/>
                <w:kern w:val="0"/>
                <w:sz w:val="24"/>
                <w:szCs w:val="24"/>
              </w:rPr>
              <w:t>查验证书复印件或影印件</w:t>
            </w:r>
          </w:p>
        </w:tc>
      </w:tr>
      <w:tr>
        <w:tblPrEx>
          <w:tblCellMar>
            <w:top w:w="0" w:type="dxa"/>
            <w:left w:w="0" w:type="dxa"/>
            <w:bottom w:w="0" w:type="dxa"/>
            <w:right w:w="0" w:type="dxa"/>
          </w:tblCellMar>
        </w:tblPrEx>
        <w:trPr>
          <w:trHeight w:val="1408" w:hRule="atLeast"/>
          <w:jc w:val="center"/>
        </w:trPr>
        <w:tc>
          <w:tcPr>
            <w:tcW w:w="0" w:type="auto"/>
            <w:vMerge w:val="continue"/>
            <w:tcBorders>
              <w:left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left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未被各级招投标监管部门限制投标的企业</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color w:val="000000"/>
                <w:kern w:val="0"/>
                <w:sz w:val="24"/>
                <w:szCs w:val="24"/>
              </w:rPr>
            </w:pPr>
            <w:r>
              <w:rPr>
                <w:rFonts w:hint="eastAsia" w:ascii="宋体" w:hAnsi="宋体" w:cs="宋体"/>
                <w:color w:val="000000"/>
                <w:kern w:val="0"/>
                <w:sz w:val="24"/>
                <w:szCs w:val="24"/>
              </w:rPr>
              <w:t>符合采购文件要求</w:t>
            </w:r>
          </w:p>
        </w:tc>
      </w:tr>
      <w:tr>
        <w:tblPrEx>
          <w:tblCellMar>
            <w:top w:w="0" w:type="dxa"/>
            <w:left w:w="0" w:type="dxa"/>
            <w:bottom w:w="0" w:type="dxa"/>
            <w:right w:w="0" w:type="dxa"/>
          </w:tblCellMar>
        </w:tblPrEx>
        <w:trPr>
          <w:trHeight w:val="624" w:hRule="atLeast"/>
          <w:jc w:val="center"/>
        </w:trPr>
        <w:tc>
          <w:tcPr>
            <w:tcW w:w="703"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jc w:val="center"/>
              <w:rPr>
                <w:rFonts w:ascii="宋体" w:hAnsi="宋体" w:cs="宋体"/>
                <w:kern w:val="0"/>
                <w:sz w:val="24"/>
                <w:szCs w:val="24"/>
              </w:rPr>
            </w:pPr>
            <w:r>
              <w:rPr>
                <w:rFonts w:hint="eastAsia" w:ascii="宋体" w:hAnsi="宋体" w:cs="宋体"/>
                <w:color w:val="000000"/>
                <w:kern w:val="0"/>
                <w:sz w:val="24"/>
                <w:szCs w:val="24"/>
              </w:rPr>
              <w:t>2</w:t>
            </w:r>
          </w:p>
        </w:tc>
        <w:tc>
          <w:tcPr>
            <w:tcW w:w="689"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ind w:firstLine="16"/>
              <w:jc w:val="center"/>
              <w:rPr>
                <w:rFonts w:ascii="宋体" w:hAnsi="宋体" w:cs="宋体"/>
                <w:kern w:val="0"/>
                <w:sz w:val="24"/>
                <w:szCs w:val="24"/>
              </w:rPr>
            </w:pPr>
            <w:r>
              <w:rPr>
                <w:rFonts w:hint="eastAsia" w:ascii="宋体" w:hAnsi="宋体" w:cs="宋体"/>
                <w:color w:val="000000"/>
                <w:kern w:val="0"/>
                <w:sz w:val="24"/>
                <w:szCs w:val="24"/>
              </w:rPr>
              <w:t>符合性评审标准</w:t>
            </w: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询比人名称</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color w:val="000000"/>
                <w:kern w:val="0"/>
                <w:sz w:val="24"/>
                <w:szCs w:val="24"/>
              </w:rPr>
            </w:pPr>
            <w:r>
              <w:rPr>
                <w:rFonts w:hint="eastAsia" w:ascii="宋体" w:hAnsi="宋体" w:cs="宋体"/>
                <w:color w:val="000000"/>
                <w:kern w:val="0"/>
                <w:sz w:val="24"/>
                <w:szCs w:val="24"/>
              </w:rPr>
              <w:t>与有效的营业执照一致</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询比响应文件签字盖章</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color w:val="000000"/>
                <w:kern w:val="0"/>
                <w:sz w:val="24"/>
                <w:szCs w:val="24"/>
              </w:rPr>
            </w:pPr>
            <w:r>
              <w:rPr>
                <w:rFonts w:hint="eastAsia" w:ascii="宋体" w:hAnsi="宋体" w:cs="宋体"/>
                <w:color w:val="000000"/>
                <w:kern w:val="0"/>
                <w:sz w:val="24"/>
                <w:szCs w:val="24"/>
              </w:rPr>
              <w:t>符合询比人须知前附表要求</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询比响应文件的正本、副本数量</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color w:val="000000"/>
                <w:kern w:val="0"/>
                <w:sz w:val="24"/>
                <w:szCs w:val="24"/>
              </w:rPr>
            </w:pPr>
            <w:r>
              <w:rPr>
                <w:rFonts w:hint="eastAsia" w:ascii="宋体" w:hAnsi="宋体" w:cs="宋体"/>
                <w:color w:val="000000"/>
                <w:kern w:val="0"/>
                <w:sz w:val="24"/>
                <w:szCs w:val="24"/>
              </w:rPr>
              <w:t>符合询比人须知前附表要求</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询比响应文件格式</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符合询比文件的要求</w:t>
            </w:r>
          </w:p>
        </w:tc>
      </w:tr>
      <w:tr>
        <w:tblPrEx>
          <w:tblCellMar>
            <w:top w:w="0" w:type="dxa"/>
            <w:left w:w="0" w:type="dxa"/>
            <w:bottom w:w="0" w:type="dxa"/>
            <w:right w:w="0" w:type="dxa"/>
          </w:tblCellMar>
        </w:tblPrEx>
        <w:trPr>
          <w:trHeight w:val="53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6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其他</w:t>
            </w:r>
          </w:p>
        </w:tc>
        <w:tc>
          <w:tcPr>
            <w:tcW w:w="432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询比文件规定的其他实质性要求</w:t>
            </w:r>
          </w:p>
        </w:tc>
      </w:tr>
      <w:tr>
        <w:tblPrEx>
          <w:tblCellMar>
            <w:top w:w="0" w:type="dxa"/>
            <w:left w:w="0" w:type="dxa"/>
            <w:bottom w:w="0" w:type="dxa"/>
            <w:right w:w="0" w:type="dxa"/>
          </w:tblCellMar>
        </w:tblPrEx>
        <w:trPr>
          <w:trHeight w:val="593" w:hRule="atLeast"/>
          <w:jc w:val="center"/>
        </w:trPr>
        <w:tc>
          <w:tcPr>
            <w:tcW w:w="8326" w:type="dxa"/>
            <w:gridSpan w:val="4"/>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color w:val="000000"/>
                <w:kern w:val="0"/>
                <w:sz w:val="24"/>
                <w:szCs w:val="24"/>
              </w:rPr>
              <w:t>以上内容由询比小组按照评审标准逐项进行评审，判断响应情况，实质性响应的应评为通过，否则应评为不通过；有任何一项未通过的，询比响应文件将被否决。</w:t>
            </w:r>
          </w:p>
        </w:tc>
      </w:tr>
    </w:tbl>
    <w:p>
      <w:pPr>
        <w:widowControl/>
        <w:shd w:val="clear" w:color="auto" w:fill="FFFFFF"/>
        <w:spacing w:before="100" w:beforeAutospacing="1" w:after="100" w:afterAutospacing="1" w:line="400" w:lineRule="atLeast"/>
        <w:ind w:firstLine="480"/>
        <w:rPr>
          <w:rFonts w:ascii="宋体" w:hAnsi="宋体" w:cs="宋体"/>
          <w:color w:val="000000"/>
          <w:kern w:val="0"/>
          <w:sz w:val="24"/>
          <w:szCs w:val="24"/>
        </w:rPr>
      </w:pPr>
      <w:r>
        <w:rPr>
          <w:rFonts w:hint="eastAsia" w:ascii="宋体" w:hAnsi="宋体" w:cs="宋体"/>
          <w:b/>
          <w:bCs/>
          <w:color w:val="000000"/>
          <w:kern w:val="0"/>
          <w:sz w:val="24"/>
          <w:szCs w:val="24"/>
        </w:rPr>
        <w:t>第十条 </w:t>
      </w:r>
      <w:r>
        <w:rPr>
          <w:rFonts w:hint="eastAsia" w:ascii="宋体" w:hAnsi="宋体" w:cs="宋体"/>
          <w:color w:val="000000"/>
          <w:kern w:val="0"/>
          <w:sz w:val="24"/>
          <w:szCs w:val="24"/>
        </w:rPr>
        <w:t>询比小组对通过初步评审的投标文件作进一步的详细评审，具体指标见下表：</w:t>
      </w:r>
    </w:p>
    <w:tbl>
      <w:tblPr>
        <w:tblStyle w:val="5"/>
        <w:tblW w:w="0" w:type="auto"/>
        <w:tblInd w:w="0" w:type="dxa"/>
        <w:tblLayout w:type="autofit"/>
        <w:tblCellMar>
          <w:top w:w="0" w:type="dxa"/>
          <w:left w:w="0" w:type="dxa"/>
          <w:bottom w:w="0" w:type="dxa"/>
          <w:right w:w="0" w:type="dxa"/>
        </w:tblCellMar>
      </w:tblPr>
      <w:tblGrid>
        <w:gridCol w:w="784"/>
        <w:gridCol w:w="2102"/>
        <w:gridCol w:w="3754"/>
        <w:gridCol w:w="1882"/>
      </w:tblGrid>
      <w:tr>
        <w:tblPrEx>
          <w:tblCellMar>
            <w:top w:w="0" w:type="dxa"/>
            <w:left w:w="0" w:type="dxa"/>
            <w:bottom w:w="0" w:type="dxa"/>
            <w:right w:w="0" w:type="dxa"/>
          </w:tblCellMar>
        </w:tblPrEx>
        <w:trPr>
          <w:trHeight w:val="426" w:hRule="atLeast"/>
        </w:trPr>
        <w:tc>
          <w:tcPr>
            <w:tcW w:w="7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序号</w:t>
            </w:r>
          </w:p>
        </w:tc>
        <w:tc>
          <w:tcPr>
            <w:tcW w:w="21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Cs w:val="21"/>
              </w:rPr>
              <w:t>指标名称</w:t>
            </w:r>
          </w:p>
        </w:tc>
        <w:tc>
          <w:tcPr>
            <w:tcW w:w="37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指标要求</w:t>
            </w:r>
          </w:p>
        </w:tc>
        <w:tc>
          <w:tcPr>
            <w:tcW w:w="1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备注</w:t>
            </w:r>
          </w:p>
        </w:tc>
      </w:tr>
      <w:tr>
        <w:tblPrEx>
          <w:tblCellMar>
            <w:top w:w="0" w:type="dxa"/>
            <w:left w:w="0" w:type="dxa"/>
            <w:bottom w:w="0" w:type="dxa"/>
            <w:right w:w="0" w:type="dxa"/>
          </w:tblCellMar>
        </w:tblPrEx>
        <w:trPr>
          <w:trHeight w:val="456" w:hRule="atLeast"/>
        </w:trPr>
        <w:tc>
          <w:tcPr>
            <w:tcW w:w="7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1</w:t>
            </w:r>
          </w:p>
        </w:tc>
        <w:tc>
          <w:tcPr>
            <w:tcW w:w="21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质量、服务内容等</w:t>
            </w:r>
          </w:p>
        </w:tc>
        <w:tc>
          <w:tcPr>
            <w:tcW w:w="37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符合询比文件采购需求</w:t>
            </w:r>
          </w:p>
        </w:tc>
        <w:tc>
          <w:tcPr>
            <w:tcW w:w="1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 </w:t>
            </w:r>
          </w:p>
        </w:tc>
      </w:tr>
      <w:tr>
        <w:tblPrEx>
          <w:tblCellMar>
            <w:top w:w="0" w:type="dxa"/>
            <w:left w:w="0" w:type="dxa"/>
            <w:bottom w:w="0" w:type="dxa"/>
            <w:right w:w="0" w:type="dxa"/>
          </w:tblCellMar>
        </w:tblPrEx>
        <w:trPr>
          <w:trHeight w:val="486" w:hRule="atLeast"/>
        </w:trPr>
        <w:tc>
          <w:tcPr>
            <w:tcW w:w="7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2</w:t>
            </w:r>
          </w:p>
        </w:tc>
        <w:tc>
          <w:tcPr>
            <w:tcW w:w="21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投标报价</w:t>
            </w:r>
          </w:p>
        </w:tc>
        <w:tc>
          <w:tcPr>
            <w:tcW w:w="37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须符合询比文件要求</w:t>
            </w:r>
          </w:p>
        </w:tc>
        <w:tc>
          <w:tcPr>
            <w:tcW w:w="1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 </w:t>
            </w:r>
          </w:p>
        </w:tc>
      </w:tr>
      <w:tr>
        <w:tblPrEx>
          <w:tblCellMar>
            <w:top w:w="0" w:type="dxa"/>
            <w:left w:w="0" w:type="dxa"/>
            <w:bottom w:w="0" w:type="dxa"/>
            <w:right w:w="0" w:type="dxa"/>
          </w:tblCellMar>
        </w:tblPrEx>
        <w:trPr>
          <w:trHeight w:val="585" w:hRule="atLeast"/>
        </w:trPr>
        <w:tc>
          <w:tcPr>
            <w:tcW w:w="7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3</w:t>
            </w:r>
          </w:p>
        </w:tc>
        <w:tc>
          <w:tcPr>
            <w:tcW w:w="21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kern w:val="0"/>
                <w:sz w:val="24"/>
                <w:szCs w:val="24"/>
              </w:rPr>
              <w:t>其他实质性要求</w:t>
            </w:r>
          </w:p>
        </w:tc>
        <w:tc>
          <w:tcPr>
            <w:tcW w:w="37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rPr>
                <w:rFonts w:ascii="宋体" w:hAnsi="宋体" w:cs="宋体"/>
                <w:kern w:val="0"/>
                <w:sz w:val="24"/>
                <w:szCs w:val="24"/>
              </w:rPr>
            </w:pPr>
            <w:r>
              <w:rPr>
                <w:rFonts w:hint="eastAsia" w:ascii="宋体" w:hAnsi="宋体" w:cs="宋体"/>
                <w:kern w:val="0"/>
                <w:sz w:val="24"/>
                <w:szCs w:val="24"/>
              </w:rPr>
              <w:t>符合询比文件要求</w:t>
            </w:r>
          </w:p>
        </w:tc>
        <w:tc>
          <w:tcPr>
            <w:tcW w:w="1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宋体"/>
                <w:kern w:val="0"/>
                <w:sz w:val="24"/>
                <w:szCs w:val="24"/>
              </w:rPr>
            </w:pPr>
            <w:r>
              <w:rPr>
                <w:rFonts w:hint="eastAsia" w:ascii="宋体" w:hAnsi="宋体" w:cs="宋体"/>
                <w:b/>
                <w:bCs/>
                <w:kern w:val="0"/>
                <w:sz w:val="24"/>
                <w:szCs w:val="24"/>
              </w:rPr>
              <w:t> </w:t>
            </w:r>
          </w:p>
        </w:tc>
      </w:tr>
      <w:tr>
        <w:tblPrEx>
          <w:tblCellMar>
            <w:top w:w="0" w:type="dxa"/>
            <w:left w:w="0" w:type="dxa"/>
            <w:bottom w:w="0" w:type="dxa"/>
            <w:right w:w="0" w:type="dxa"/>
          </w:tblCellMar>
        </w:tblPrEx>
        <w:trPr>
          <w:trHeight w:val="783"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rPr>
                <w:rFonts w:ascii="宋体" w:hAnsi="宋体" w:cs="宋体"/>
                <w:kern w:val="0"/>
                <w:sz w:val="24"/>
                <w:szCs w:val="24"/>
              </w:rPr>
            </w:pPr>
            <w:r>
              <w:rPr>
                <w:rFonts w:hint="eastAsia" w:ascii="宋体" w:hAnsi="宋体" w:cs="宋体"/>
                <w:kern w:val="0"/>
                <w:sz w:val="24"/>
                <w:szCs w:val="24"/>
              </w:rPr>
              <w:t>以上内容由询比小组按照评审指标等要求逐项进行评审，判断响应情况，实质性响应的应评为通过，否则应评为不通过；有任何一项未通过的，详细评审不合格，报价文件按废标处理。</w:t>
            </w:r>
          </w:p>
        </w:tc>
      </w:tr>
    </w:tbl>
    <w:p>
      <w:pPr>
        <w:widowControl/>
        <w:shd w:val="clear" w:color="auto" w:fill="FFFFFF"/>
        <w:spacing w:before="100" w:beforeAutospacing="1" w:after="100" w:afterAutospacing="1" w:line="440" w:lineRule="atLeast"/>
        <w:ind w:right="-10" w:firstLine="480"/>
        <w:rPr>
          <w:rFonts w:ascii="宋体" w:hAnsi="宋体" w:cs="宋体"/>
          <w:b/>
          <w:bCs/>
          <w:color w:val="000000"/>
          <w:kern w:val="0"/>
          <w:sz w:val="24"/>
          <w:szCs w:val="24"/>
        </w:rPr>
      </w:pPr>
      <w:r>
        <w:rPr>
          <w:rFonts w:hint="eastAsia" w:ascii="宋体" w:hAnsi="宋体" w:cs="宋体"/>
          <w:b/>
          <w:bCs/>
          <w:color w:val="000000"/>
          <w:kern w:val="0"/>
          <w:sz w:val="24"/>
          <w:szCs w:val="24"/>
        </w:rPr>
        <w:t>第十一条</w:t>
      </w:r>
      <w:r>
        <w:rPr>
          <w:rFonts w:hint="eastAsia" w:ascii="宋体" w:hAnsi="宋体" w:cs="宋体"/>
          <w:color w:val="000000"/>
          <w:kern w:val="0"/>
          <w:sz w:val="24"/>
          <w:szCs w:val="24"/>
        </w:rPr>
        <w:t>询比小组对通过详细评审的投标文件进行打分，具体指标见下表：</w:t>
      </w:r>
    </w:p>
    <w:tbl>
      <w:tblPr>
        <w:tblStyle w:val="6"/>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56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34" w:type="dxa"/>
          </w:tcPr>
          <w:p>
            <w:pPr>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指标</w:t>
            </w:r>
          </w:p>
        </w:tc>
        <w:tc>
          <w:tcPr>
            <w:tcW w:w="5643" w:type="dxa"/>
          </w:tcPr>
          <w:p>
            <w:pPr>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指标描述</w:t>
            </w:r>
          </w:p>
        </w:tc>
        <w:tc>
          <w:tcPr>
            <w:tcW w:w="1834" w:type="dxa"/>
          </w:tcPr>
          <w:p>
            <w:pPr>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34" w:type="dxa"/>
            <w:vMerge w:val="restart"/>
            <w:vAlign w:val="center"/>
          </w:tcPr>
          <w:p>
            <w:pPr>
              <w:spacing w:line="560" w:lineRule="exact"/>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企业综合信誉实力</w:t>
            </w:r>
          </w:p>
          <w:p>
            <w:pPr>
              <w:spacing w:line="560" w:lineRule="exact"/>
              <w:jc w:val="center"/>
              <w:rPr>
                <w:rFonts w:cs="Times New Roman" w:asciiTheme="minorEastAsia" w:hAnsiTheme="minorEastAsia" w:eastAsiaTheme="minorEastAsia"/>
                <w:kern w:val="0"/>
                <w:sz w:val="24"/>
                <w:szCs w:val="24"/>
              </w:rPr>
            </w:pPr>
            <w:r>
              <w:rPr>
                <w:rFonts w:hint="eastAsia" w:cs="仿宋" w:asciiTheme="minorEastAsia" w:hAnsiTheme="minorEastAsia" w:eastAsiaTheme="minorEastAsia"/>
                <w:kern w:val="0"/>
                <w:sz w:val="24"/>
                <w:szCs w:val="28"/>
              </w:rPr>
              <w:t>（</w:t>
            </w:r>
            <w:r>
              <w:rPr>
                <w:rFonts w:hint="eastAsia" w:cs="仿宋" w:asciiTheme="minorEastAsia" w:hAnsiTheme="minorEastAsia"/>
                <w:kern w:val="0"/>
                <w:sz w:val="24"/>
                <w:szCs w:val="28"/>
                <w:lang w:val="en-US" w:eastAsia="zh-CN"/>
              </w:rPr>
              <w:t>20</w:t>
            </w:r>
            <w:r>
              <w:rPr>
                <w:rFonts w:hint="eastAsia" w:cs="仿宋" w:asciiTheme="minorEastAsia" w:hAnsiTheme="minorEastAsia" w:eastAsiaTheme="minorEastAsia"/>
                <w:kern w:val="0"/>
                <w:sz w:val="24"/>
                <w:szCs w:val="28"/>
              </w:rPr>
              <w:t>）</w:t>
            </w:r>
          </w:p>
        </w:tc>
        <w:tc>
          <w:tcPr>
            <w:tcW w:w="5643" w:type="dxa"/>
            <w:vAlign w:val="center"/>
          </w:tcPr>
          <w:p>
            <w:pPr>
              <w:spacing w:line="560" w:lineRule="exact"/>
              <w:rPr>
                <w:rFonts w:hint="eastAsia" w:cs="仿宋" w:asciiTheme="minorEastAsia" w:hAnsiTheme="minorEastAsia" w:eastAsiaTheme="minorEastAsia"/>
                <w:kern w:val="0"/>
                <w:sz w:val="24"/>
                <w:szCs w:val="28"/>
                <w:highlight w:val="none"/>
              </w:rPr>
            </w:pPr>
            <w:r>
              <w:rPr>
                <w:rFonts w:hint="eastAsia" w:cs="仿宋" w:asciiTheme="minorEastAsia" w:hAnsiTheme="minorEastAsia" w:eastAsiaTheme="minorEastAsia"/>
                <w:kern w:val="0"/>
                <w:sz w:val="24"/>
                <w:szCs w:val="28"/>
                <w:highlight w:val="none"/>
              </w:rPr>
              <w:t>2018 年 1 月 1 日以来，（以合同签订时间或委托时间为准）以来，投标人具有党政机关或企事业单位委托的（委托资金来源为财政性资金）审计（包含结算审计）</w:t>
            </w:r>
            <w:r>
              <w:rPr>
                <w:rFonts w:hint="eastAsia" w:cs="仿宋" w:asciiTheme="minorEastAsia" w:hAnsiTheme="minorEastAsia"/>
                <w:kern w:val="0"/>
                <w:sz w:val="24"/>
                <w:szCs w:val="28"/>
                <w:highlight w:val="none"/>
                <w:lang w:val="en-US" w:eastAsia="zh-CN"/>
              </w:rPr>
              <w:t>或预算编制项目</w:t>
            </w:r>
            <w:r>
              <w:rPr>
                <w:rFonts w:hint="eastAsia" w:cs="仿宋" w:asciiTheme="minorEastAsia" w:hAnsiTheme="minorEastAsia" w:eastAsiaTheme="minorEastAsia"/>
                <w:kern w:val="0"/>
                <w:sz w:val="24"/>
                <w:szCs w:val="28"/>
                <w:highlight w:val="none"/>
              </w:rPr>
              <w:t>，每提供1项得</w:t>
            </w:r>
            <w:r>
              <w:rPr>
                <w:rFonts w:hint="eastAsia" w:cs="仿宋" w:asciiTheme="minorEastAsia" w:hAnsiTheme="minorEastAsia"/>
                <w:kern w:val="0"/>
                <w:sz w:val="24"/>
                <w:szCs w:val="28"/>
                <w:highlight w:val="none"/>
                <w:lang w:val="en-US" w:eastAsia="zh-CN"/>
              </w:rPr>
              <w:t>2</w:t>
            </w:r>
            <w:r>
              <w:rPr>
                <w:rFonts w:hint="eastAsia" w:cs="仿宋" w:asciiTheme="minorEastAsia" w:hAnsiTheme="minorEastAsia" w:eastAsiaTheme="minorEastAsia"/>
                <w:kern w:val="0"/>
                <w:sz w:val="24"/>
                <w:szCs w:val="28"/>
                <w:highlight w:val="none"/>
              </w:rPr>
              <w:t>分，本条满分</w:t>
            </w:r>
            <w:r>
              <w:rPr>
                <w:rFonts w:hint="eastAsia" w:cs="仿宋" w:asciiTheme="minorEastAsia" w:hAnsiTheme="minorEastAsia"/>
                <w:kern w:val="0"/>
                <w:sz w:val="24"/>
                <w:szCs w:val="28"/>
                <w:highlight w:val="none"/>
                <w:lang w:val="en-US" w:eastAsia="zh-CN"/>
              </w:rPr>
              <w:t>6</w:t>
            </w:r>
            <w:r>
              <w:rPr>
                <w:rFonts w:hint="eastAsia" w:cs="仿宋" w:asciiTheme="minorEastAsia" w:hAnsiTheme="minorEastAsia" w:eastAsiaTheme="minorEastAsia"/>
                <w:kern w:val="0"/>
                <w:sz w:val="24"/>
                <w:szCs w:val="28"/>
                <w:highlight w:val="none"/>
              </w:rPr>
              <w:t>分。</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highlight w:val="none"/>
              </w:rPr>
              <w:t>注：响应文件中须提供上述业绩合同扫描件或影印件。同份业绩多年多次签订不得分。</w:t>
            </w:r>
          </w:p>
        </w:tc>
        <w:tc>
          <w:tcPr>
            <w:tcW w:w="1834" w:type="dxa"/>
            <w:vAlign w:val="center"/>
          </w:tcPr>
          <w:p>
            <w:pPr>
              <w:spacing w:line="560" w:lineRule="exact"/>
              <w:jc w:val="lef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0-</w:t>
            </w:r>
            <w:r>
              <w:rPr>
                <w:rFonts w:hint="eastAsia" w:cs="仿宋" w:asciiTheme="minorEastAsia" w:hAnsiTheme="minorEastAsia"/>
                <w:kern w:val="0"/>
                <w:sz w:val="24"/>
                <w:szCs w:val="28"/>
                <w:lang w:val="en-US" w:eastAsia="zh-CN"/>
              </w:rPr>
              <w:t>6</w:t>
            </w:r>
            <w:r>
              <w:rPr>
                <w:rFonts w:hint="eastAsia" w:cs="仿宋" w:asciiTheme="minorEastAsia" w:hAnsiTheme="minorEastAsia" w:eastAsiaTheme="minorEastAsia"/>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734" w:type="dxa"/>
            <w:vMerge w:val="continue"/>
            <w:vAlign w:val="center"/>
          </w:tcPr>
          <w:p>
            <w:pPr>
              <w:spacing w:line="560" w:lineRule="exact"/>
              <w:jc w:val="center"/>
              <w:rPr>
                <w:rFonts w:cs="仿宋" w:asciiTheme="minorEastAsia" w:hAnsiTheme="minorEastAsia" w:eastAsiaTheme="minorEastAsia"/>
                <w:kern w:val="0"/>
                <w:sz w:val="24"/>
                <w:szCs w:val="28"/>
              </w:rPr>
            </w:pPr>
          </w:p>
        </w:tc>
        <w:tc>
          <w:tcPr>
            <w:tcW w:w="5643" w:type="dxa"/>
            <w:vAlign w:val="center"/>
          </w:tcPr>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投标人近三年（20</w:t>
            </w:r>
            <w:r>
              <w:rPr>
                <w:rFonts w:hint="eastAsia" w:cs="仿宋" w:asciiTheme="minorEastAsia" w:hAnsiTheme="minorEastAsia"/>
                <w:kern w:val="0"/>
                <w:sz w:val="24"/>
                <w:szCs w:val="28"/>
                <w:lang w:val="en-US" w:eastAsia="zh-CN"/>
              </w:rPr>
              <w:t>20</w:t>
            </w:r>
            <w:r>
              <w:rPr>
                <w:rFonts w:hint="eastAsia" w:cs="仿宋" w:asciiTheme="minorEastAsia" w:hAnsiTheme="minorEastAsia" w:eastAsiaTheme="minorEastAsia"/>
                <w:kern w:val="0"/>
                <w:sz w:val="24"/>
                <w:szCs w:val="28"/>
              </w:rPr>
              <w:t>年以来）获得以下荣誉或奖项</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（1）中国造价管理协会AAA信用得</w:t>
            </w:r>
            <w:r>
              <w:rPr>
                <w:rFonts w:hint="eastAsia" w:cs="仿宋" w:asciiTheme="minorEastAsia" w:hAnsiTheme="minorEastAsia"/>
                <w:kern w:val="0"/>
                <w:sz w:val="24"/>
                <w:szCs w:val="28"/>
                <w:lang w:val="en-US" w:eastAsia="zh-CN"/>
              </w:rPr>
              <w:t>5</w:t>
            </w:r>
            <w:r>
              <w:rPr>
                <w:rFonts w:hint="eastAsia" w:cs="仿宋" w:asciiTheme="minorEastAsia" w:hAnsiTheme="minorEastAsia" w:eastAsiaTheme="minorEastAsia"/>
                <w:kern w:val="0"/>
                <w:sz w:val="24"/>
                <w:szCs w:val="28"/>
              </w:rPr>
              <w:t>分，AA （或省级AAA）得</w:t>
            </w:r>
            <w:r>
              <w:rPr>
                <w:rFonts w:hint="eastAsia" w:cs="仿宋" w:asciiTheme="minorEastAsia" w:hAnsiTheme="minorEastAsia"/>
                <w:kern w:val="0"/>
                <w:sz w:val="24"/>
                <w:szCs w:val="28"/>
                <w:lang w:val="en-US" w:eastAsia="zh-CN"/>
              </w:rPr>
              <w:t>2</w:t>
            </w:r>
            <w:r>
              <w:rPr>
                <w:rFonts w:hint="eastAsia" w:cs="仿宋" w:asciiTheme="minorEastAsia" w:hAnsiTheme="minorEastAsia" w:eastAsiaTheme="minorEastAsia"/>
                <w:kern w:val="0"/>
                <w:sz w:val="24"/>
                <w:szCs w:val="28"/>
              </w:rPr>
              <w:t>分</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 xml:space="preserve">（2）获得省级及以上造价协会或政府荣誉的（不含信用）得 </w:t>
            </w:r>
            <w:r>
              <w:rPr>
                <w:rFonts w:hint="eastAsia" w:cs="仿宋" w:asciiTheme="minorEastAsia" w:hAnsiTheme="minorEastAsia"/>
                <w:kern w:val="0"/>
                <w:sz w:val="24"/>
                <w:szCs w:val="28"/>
                <w:lang w:val="en-US" w:eastAsia="zh-CN"/>
              </w:rPr>
              <w:t>2</w:t>
            </w:r>
            <w:r>
              <w:rPr>
                <w:rFonts w:hint="eastAsia" w:cs="仿宋" w:asciiTheme="minorEastAsia" w:hAnsiTheme="minorEastAsia" w:eastAsiaTheme="minorEastAsia"/>
                <w:kern w:val="0"/>
                <w:sz w:val="24"/>
                <w:szCs w:val="28"/>
              </w:rPr>
              <w:t>分</w:t>
            </w:r>
          </w:p>
        </w:tc>
        <w:tc>
          <w:tcPr>
            <w:tcW w:w="1834" w:type="dxa"/>
            <w:vAlign w:val="center"/>
          </w:tcPr>
          <w:p>
            <w:pPr>
              <w:spacing w:line="560" w:lineRule="exact"/>
              <w:jc w:val="left"/>
              <w:rPr>
                <w:rFonts w:hint="eastAsia" w:cs="仿宋" w:asciiTheme="minorEastAsia" w:hAnsiTheme="minorEastAsia" w:eastAsiaTheme="minorEastAsia"/>
                <w:kern w:val="0"/>
                <w:sz w:val="24"/>
                <w:szCs w:val="28"/>
                <w:lang w:val="en-US" w:eastAsia="zh-CN"/>
              </w:rPr>
            </w:pPr>
            <w:r>
              <w:rPr>
                <w:rFonts w:hint="eastAsia" w:cs="仿宋" w:asciiTheme="minorEastAsia" w:hAnsiTheme="minorEastAsia" w:eastAsiaTheme="minorEastAsia"/>
                <w:kern w:val="0"/>
                <w:sz w:val="24"/>
                <w:szCs w:val="28"/>
              </w:rPr>
              <w:t>0-</w:t>
            </w:r>
            <w:r>
              <w:rPr>
                <w:rFonts w:hint="eastAsia" w:cs="仿宋" w:asciiTheme="minorEastAsia" w:hAnsiTheme="minorEastAsia"/>
                <w:kern w:val="0"/>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734" w:type="dxa"/>
            <w:vMerge w:val="continue"/>
            <w:vAlign w:val="center"/>
          </w:tcPr>
          <w:p>
            <w:pPr>
              <w:spacing w:line="560" w:lineRule="exact"/>
              <w:jc w:val="center"/>
              <w:rPr>
                <w:rFonts w:cs="仿宋" w:asciiTheme="minorEastAsia" w:hAnsiTheme="minorEastAsia" w:eastAsiaTheme="minorEastAsia"/>
                <w:kern w:val="0"/>
                <w:sz w:val="24"/>
                <w:szCs w:val="28"/>
              </w:rPr>
            </w:pPr>
          </w:p>
        </w:tc>
        <w:tc>
          <w:tcPr>
            <w:tcW w:w="5643" w:type="dxa"/>
            <w:vAlign w:val="center"/>
          </w:tcPr>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投标人具有有效的质量、环境、职业健康安全管理体系认证，得</w:t>
            </w:r>
            <w:r>
              <w:rPr>
                <w:rFonts w:hint="eastAsia" w:cs="仿宋" w:asciiTheme="minorEastAsia" w:hAnsiTheme="minorEastAsia"/>
                <w:kern w:val="0"/>
                <w:sz w:val="24"/>
                <w:szCs w:val="28"/>
                <w:lang w:val="en-US" w:eastAsia="zh-CN"/>
              </w:rPr>
              <w:t>2</w:t>
            </w:r>
            <w:r>
              <w:rPr>
                <w:rFonts w:hint="eastAsia" w:cs="仿宋" w:asciiTheme="minorEastAsia" w:hAnsiTheme="minorEastAsia" w:eastAsiaTheme="minorEastAsia"/>
                <w:kern w:val="0"/>
                <w:sz w:val="24"/>
                <w:szCs w:val="28"/>
              </w:rPr>
              <w:t>分，最高得</w:t>
            </w:r>
            <w:r>
              <w:rPr>
                <w:rFonts w:hint="eastAsia" w:cs="仿宋" w:asciiTheme="minorEastAsia" w:hAnsiTheme="minorEastAsia"/>
                <w:kern w:val="0"/>
                <w:sz w:val="24"/>
                <w:szCs w:val="28"/>
                <w:lang w:val="en-US" w:eastAsia="zh-CN"/>
              </w:rPr>
              <w:t>2</w:t>
            </w:r>
            <w:r>
              <w:rPr>
                <w:rFonts w:hint="eastAsia" w:cs="仿宋" w:asciiTheme="minorEastAsia" w:hAnsiTheme="minorEastAsia" w:eastAsiaTheme="minorEastAsia"/>
                <w:kern w:val="0"/>
                <w:sz w:val="24"/>
                <w:szCs w:val="28"/>
              </w:rPr>
              <w:t>分。</w:t>
            </w:r>
          </w:p>
        </w:tc>
        <w:tc>
          <w:tcPr>
            <w:tcW w:w="1834" w:type="dxa"/>
            <w:vAlign w:val="center"/>
          </w:tcPr>
          <w:p>
            <w:pPr>
              <w:spacing w:line="560" w:lineRule="exact"/>
              <w:jc w:val="left"/>
              <w:rPr>
                <w:rFonts w:hint="eastAsia" w:cs="仿宋" w:asciiTheme="minorEastAsia" w:hAnsiTheme="minorEastAsia" w:eastAsiaTheme="minorEastAsia"/>
                <w:kern w:val="0"/>
                <w:sz w:val="24"/>
                <w:szCs w:val="28"/>
                <w:lang w:val="en-US" w:eastAsia="zh-CN"/>
              </w:rPr>
            </w:pPr>
            <w:r>
              <w:rPr>
                <w:rFonts w:hint="eastAsia" w:cs="仿宋" w:asciiTheme="minorEastAsia" w:hAnsiTheme="minorEastAsia" w:eastAsiaTheme="minorEastAsia"/>
                <w:kern w:val="0"/>
                <w:sz w:val="24"/>
                <w:szCs w:val="28"/>
              </w:rPr>
              <w:t>0-</w:t>
            </w:r>
            <w:r>
              <w:rPr>
                <w:rFonts w:hint="eastAsia" w:cs="仿宋" w:asciiTheme="minorEastAsia" w:hAnsiTheme="minorEastAsia"/>
                <w:kern w:val="0"/>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Merge w:val="continue"/>
            <w:vAlign w:val="center"/>
          </w:tcPr>
          <w:p>
            <w:pPr>
              <w:spacing w:line="560" w:lineRule="exact"/>
              <w:jc w:val="center"/>
              <w:rPr>
                <w:rFonts w:cs="仿宋" w:asciiTheme="minorEastAsia" w:hAnsiTheme="minorEastAsia" w:eastAsiaTheme="minorEastAsia"/>
                <w:kern w:val="0"/>
                <w:sz w:val="24"/>
                <w:szCs w:val="28"/>
              </w:rPr>
            </w:pPr>
          </w:p>
        </w:tc>
        <w:tc>
          <w:tcPr>
            <w:tcW w:w="5643" w:type="dxa"/>
          </w:tcPr>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 xml:space="preserve">项目负责人具有工程类或工程经济类高级及以上技术职称的，得 5 分。 </w:t>
            </w:r>
          </w:p>
        </w:tc>
        <w:tc>
          <w:tcPr>
            <w:tcW w:w="1834" w:type="dxa"/>
            <w:vAlign w:val="center"/>
          </w:tcPr>
          <w:p>
            <w:pPr>
              <w:spacing w:line="560" w:lineRule="exact"/>
              <w:jc w:val="lef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 xml:space="preserve">0-5分 </w:t>
            </w:r>
          </w:p>
          <w:p>
            <w:pPr>
              <w:spacing w:line="560" w:lineRule="exact"/>
              <w:jc w:val="center"/>
              <w:rPr>
                <w:rFonts w:cs="仿宋" w:asciiTheme="minorEastAsia" w:hAnsiTheme="minorEastAsia" w:eastAsia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734" w:type="dxa"/>
            <w:vAlign w:val="center"/>
          </w:tcPr>
          <w:p>
            <w:pPr>
              <w:spacing w:line="560" w:lineRule="exact"/>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服务方案</w:t>
            </w:r>
          </w:p>
          <w:p>
            <w:pPr>
              <w:spacing w:line="560" w:lineRule="exact"/>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w:t>
            </w:r>
            <w:r>
              <w:rPr>
                <w:rFonts w:hint="eastAsia" w:cs="仿宋" w:asciiTheme="minorEastAsia" w:hAnsiTheme="minorEastAsia"/>
                <w:kern w:val="0"/>
                <w:sz w:val="24"/>
                <w:szCs w:val="28"/>
                <w:lang w:val="en-US" w:eastAsia="zh-CN"/>
              </w:rPr>
              <w:t>4</w:t>
            </w:r>
            <w:r>
              <w:rPr>
                <w:rFonts w:hint="eastAsia" w:cs="仿宋" w:asciiTheme="minorEastAsia" w:hAnsiTheme="minorEastAsia" w:eastAsiaTheme="minorEastAsia"/>
                <w:kern w:val="0"/>
                <w:sz w:val="24"/>
                <w:szCs w:val="28"/>
              </w:rPr>
              <w:t>0）</w:t>
            </w:r>
          </w:p>
        </w:tc>
        <w:tc>
          <w:tcPr>
            <w:tcW w:w="5643" w:type="dxa"/>
            <w:vAlign w:val="center"/>
          </w:tcPr>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（1）拟派项目专业咨询人员配置齐全，得 2-</w:t>
            </w:r>
            <w:r>
              <w:rPr>
                <w:rFonts w:hint="eastAsia" w:cs="仿宋" w:asciiTheme="minorEastAsia" w:hAnsiTheme="minorEastAsia"/>
                <w:kern w:val="0"/>
                <w:sz w:val="24"/>
                <w:szCs w:val="28"/>
                <w:lang w:val="en-US" w:eastAsia="zh-CN"/>
              </w:rPr>
              <w:t>4</w:t>
            </w:r>
            <w:r>
              <w:rPr>
                <w:rFonts w:hint="eastAsia" w:cs="仿宋" w:asciiTheme="minorEastAsia" w:hAnsiTheme="minorEastAsia" w:eastAsiaTheme="minorEastAsia"/>
                <w:kern w:val="0"/>
                <w:sz w:val="24"/>
                <w:szCs w:val="28"/>
              </w:rPr>
              <w:t>分;最高得5分。</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（2）项目组人员分工明确、责任清晰，得</w:t>
            </w:r>
            <w:r>
              <w:rPr>
                <w:rFonts w:hint="eastAsia" w:cs="仿宋" w:asciiTheme="minorEastAsia" w:hAnsiTheme="minorEastAsia"/>
                <w:kern w:val="0"/>
                <w:sz w:val="24"/>
                <w:szCs w:val="28"/>
                <w:lang w:val="en-US" w:eastAsia="zh-CN"/>
              </w:rPr>
              <w:t>2</w:t>
            </w:r>
            <w:r>
              <w:rPr>
                <w:rFonts w:hint="eastAsia" w:cs="仿宋" w:asciiTheme="minorEastAsia" w:hAnsiTheme="minorEastAsia" w:eastAsiaTheme="minorEastAsia"/>
                <w:kern w:val="0"/>
                <w:sz w:val="24"/>
                <w:szCs w:val="28"/>
              </w:rPr>
              <w:t>-</w:t>
            </w:r>
            <w:r>
              <w:rPr>
                <w:rFonts w:hint="eastAsia" w:cs="仿宋" w:asciiTheme="minorEastAsia" w:hAnsiTheme="minorEastAsia"/>
                <w:kern w:val="0"/>
                <w:sz w:val="24"/>
                <w:szCs w:val="28"/>
                <w:lang w:val="en-US" w:eastAsia="zh-CN"/>
              </w:rPr>
              <w:t>4</w:t>
            </w:r>
            <w:r>
              <w:rPr>
                <w:rFonts w:hint="eastAsia" w:cs="仿宋" w:asciiTheme="minorEastAsia" w:hAnsiTheme="minorEastAsia" w:eastAsiaTheme="minorEastAsia"/>
                <w:kern w:val="0"/>
                <w:sz w:val="24"/>
                <w:szCs w:val="28"/>
              </w:rPr>
              <w:t>分; 最高得</w:t>
            </w:r>
            <w:r>
              <w:rPr>
                <w:rFonts w:hint="eastAsia" w:cs="仿宋" w:asciiTheme="minorEastAsia" w:hAnsiTheme="minorEastAsia"/>
                <w:kern w:val="0"/>
                <w:sz w:val="24"/>
                <w:szCs w:val="28"/>
                <w:lang w:val="en-US" w:eastAsia="zh-CN"/>
              </w:rPr>
              <w:t>5</w:t>
            </w:r>
            <w:r>
              <w:rPr>
                <w:rFonts w:hint="eastAsia" w:cs="仿宋" w:asciiTheme="minorEastAsia" w:hAnsiTheme="minorEastAsia" w:eastAsiaTheme="minorEastAsia"/>
                <w:kern w:val="0"/>
                <w:sz w:val="24"/>
                <w:szCs w:val="28"/>
              </w:rPr>
              <w:t>分。</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（3）造价服务方案的内容全面，得5-</w:t>
            </w:r>
            <w:r>
              <w:rPr>
                <w:rFonts w:hint="eastAsia" w:cs="仿宋" w:asciiTheme="minorEastAsia" w:hAnsiTheme="minorEastAsia"/>
                <w:kern w:val="0"/>
                <w:sz w:val="24"/>
                <w:szCs w:val="28"/>
                <w:lang w:val="en-US" w:eastAsia="zh-CN"/>
              </w:rPr>
              <w:t>8</w:t>
            </w:r>
            <w:r>
              <w:rPr>
                <w:rFonts w:hint="eastAsia" w:cs="仿宋" w:asciiTheme="minorEastAsia" w:hAnsiTheme="minorEastAsia" w:eastAsiaTheme="minorEastAsia"/>
                <w:kern w:val="0"/>
                <w:sz w:val="24"/>
                <w:szCs w:val="28"/>
              </w:rPr>
              <w:t>分; 最高得10分。</w:t>
            </w:r>
          </w:p>
          <w:p>
            <w:pPr>
              <w:spacing w:line="560" w:lineRule="exact"/>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（4）审计服务方案中本工程造价咨询的难点、要点阐述明确且恰当，得5-</w:t>
            </w:r>
            <w:r>
              <w:rPr>
                <w:rFonts w:hint="eastAsia" w:cs="仿宋" w:asciiTheme="minorEastAsia" w:hAnsiTheme="minorEastAsia"/>
                <w:kern w:val="0"/>
                <w:sz w:val="24"/>
                <w:szCs w:val="28"/>
                <w:lang w:val="en-US" w:eastAsia="zh-CN"/>
              </w:rPr>
              <w:t>12</w:t>
            </w:r>
            <w:r>
              <w:rPr>
                <w:rFonts w:hint="eastAsia" w:cs="仿宋" w:asciiTheme="minorEastAsia" w:hAnsiTheme="minorEastAsia" w:eastAsiaTheme="minorEastAsia"/>
                <w:kern w:val="0"/>
                <w:sz w:val="24"/>
                <w:szCs w:val="28"/>
              </w:rPr>
              <w:t>分; 最高得</w:t>
            </w:r>
            <w:r>
              <w:rPr>
                <w:rFonts w:hint="eastAsia" w:cs="仿宋" w:asciiTheme="minorEastAsia" w:hAnsiTheme="minorEastAsia"/>
                <w:kern w:val="0"/>
                <w:sz w:val="24"/>
                <w:szCs w:val="28"/>
                <w:lang w:val="en-US" w:eastAsia="zh-CN"/>
              </w:rPr>
              <w:t>12</w:t>
            </w:r>
            <w:r>
              <w:rPr>
                <w:rFonts w:hint="eastAsia" w:cs="仿宋" w:asciiTheme="minorEastAsia" w:hAnsiTheme="minorEastAsia" w:eastAsiaTheme="minorEastAsia"/>
                <w:kern w:val="0"/>
                <w:sz w:val="24"/>
                <w:szCs w:val="28"/>
              </w:rPr>
              <w:t>分。</w:t>
            </w:r>
          </w:p>
          <w:p>
            <w:pP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（5）造价或审计服务方案中质量控制措施和手段合理且可靠，得5-</w:t>
            </w:r>
            <w:r>
              <w:rPr>
                <w:rFonts w:hint="eastAsia" w:cs="仿宋" w:asciiTheme="minorEastAsia" w:hAnsiTheme="minorEastAsia"/>
                <w:kern w:val="0"/>
                <w:sz w:val="24"/>
                <w:szCs w:val="28"/>
                <w:lang w:val="en-US" w:eastAsia="zh-CN"/>
              </w:rPr>
              <w:t>8</w:t>
            </w:r>
            <w:r>
              <w:rPr>
                <w:rFonts w:hint="eastAsia" w:cs="仿宋" w:asciiTheme="minorEastAsia" w:hAnsiTheme="minorEastAsia" w:eastAsiaTheme="minorEastAsia"/>
                <w:kern w:val="0"/>
                <w:sz w:val="24"/>
                <w:szCs w:val="28"/>
              </w:rPr>
              <w:t>分; 最高得</w:t>
            </w:r>
            <w:r>
              <w:rPr>
                <w:rFonts w:hint="eastAsia" w:cs="仿宋" w:asciiTheme="minorEastAsia" w:hAnsiTheme="minorEastAsia"/>
                <w:kern w:val="0"/>
                <w:sz w:val="24"/>
                <w:szCs w:val="28"/>
                <w:lang w:val="en-US" w:eastAsia="zh-CN"/>
              </w:rPr>
              <w:t>8</w:t>
            </w:r>
            <w:r>
              <w:rPr>
                <w:rFonts w:hint="eastAsia" w:cs="仿宋" w:asciiTheme="minorEastAsia" w:hAnsiTheme="minorEastAsia" w:eastAsiaTheme="minorEastAsia"/>
                <w:kern w:val="0"/>
                <w:sz w:val="24"/>
                <w:szCs w:val="28"/>
              </w:rPr>
              <w:t>分。</w:t>
            </w:r>
          </w:p>
        </w:tc>
        <w:tc>
          <w:tcPr>
            <w:tcW w:w="1834" w:type="dxa"/>
            <w:vAlign w:val="center"/>
          </w:tcPr>
          <w:p>
            <w:pPr>
              <w:spacing w:line="560" w:lineRule="exact"/>
              <w:jc w:val="center"/>
              <w:rPr>
                <w:rFonts w:cs="仿宋" w:asciiTheme="minorEastAsia" w:hAnsiTheme="minorEastAsia" w:eastAsiaTheme="minorEastAsia"/>
                <w:kern w:val="0"/>
                <w:sz w:val="24"/>
                <w:szCs w:val="28"/>
              </w:rPr>
            </w:pPr>
            <w:r>
              <w:rPr>
                <w:rFonts w:hint="eastAsia" w:cs="仿宋" w:asciiTheme="minorEastAsia" w:hAnsiTheme="minorEastAsia"/>
                <w:kern w:val="0"/>
                <w:sz w:val="24"/>
                <w:szCs w:val="28"/>
                <w:lang w:val="en-US" w:eastAsia="zh-CN"/>
              </w:rPr>
              <w:t>0</w:t>
            </w:r>
            <w:r>
              <w:rPr>
                <w:rFonts w:hint="eastAsia" w:cs="仿宋" w:asciiTheme="minorEastAsia" w:hAnsiTheme="minorEastAsia" w:eastAsiaTheme="minorEastAsia"/>
                <w:kern w:val="0"/>
                <w:sz w:val="24"/>
                <w:szCs w:val="28"/>
              </w:rPr>
              <w:t>-</w:t>
            </w:r>
            <w:r>
              <w:rPr>
                <w:rFonts w:hint="eastAsia" w:cs="仿宋" w:asciiTheme="minorEastAsia" w:hAnsiTheme="minorEastAsia"/>
                <w:kern w:val="0"/>
                <w:sz w:val="24"/>
                <w:szCs w:val="28"/>
                <w:lang w:val="en-US" w:eastAsia="zh-CN"/>
              </w:rPr>
              <w:t>4</w:t>
            </w:r>
            <w:r>
              <w:rPr>
                <w:rFonts w:hint="eastAsia" w:cs="仿宋" w:asciiTheme="minorEastAsia" w:hAnsiTheme="minorEastAsia" w:eastAsiaTheme="minorEastAsia"/>
                <w:kern w:val="0"/>
                <w:sz w:val="24"/>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734" w:type="dxa"/>
            <w:vAlign w:val="center"/>
          </w:tcPr>
          <w:p>
            <w:pPr>
              <w:spacing w:line="560" w:lineRule="exact"/>
              <w:jc w:val="cente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报价</w:t>
            </w:r>
          </w:p>
          <w:p>
            <w:pPr>
              <w:spacing w:after="120"/>
              <w:ind w:firstLine="240" w:firstLineChars="100"/>
              <w:rPr>
                <w:rFonts w:cs="Times New Roman" w:asciiTheme="minorEastAsia" w:hAnsiTheme="minorEastAsia" w:eastAsiaTheme="minorEastAsia"/>
                <w:kern w:val="0"/>
                <w:sz w:val="24"/>
                <w:szCs w:val="24"/>
              </w:rPr>
            </w:pPr>
            <w:r>
              <w:rPr>
                <w:rFonts w:hint="eastAsia" w:cs="仿宋" w:asciiTheme="minorEastAsia" w:hAnsiTheme="minorEastAsia" w:eastAsiaTheme="minorEastAsia"/>
                <w:kern w:val="0"/>
                <w:sz w:val="24"/>
                <w:szCs w:val="28"/>
              </w:rPr>
              <w:t>（</w:t>
            </w:r>
            <w:r>
              <w:rPr>
                <w:rFonts w:hint="eastAsia" w:cs="仿宋" w:asciiTheme="minorEastAsia" w:hAnsiTheme="minorEastAsia"/>
                <w:kern w:val="0"/>
                <w:sz w:val="24"/>
                <w:szCs w:val="28"/>
                <w:lang w:val="en-US" w:eastAsia="zh-CN"/>
              </w:rPr>
              <w:t>40</w:t>
            </w:r>
            <w:r>
              <w:rPr>
                <w:rFonts w:hint="eastAsia" w:cs="仿宋" w:asciiTheme="minorEastAsia" w:hAnsiTheme="minorEastAsia" w:eastAsiaTheme="minorEastAsia"/>
                <w:kern w:val="0"/>
                <w:sz w:val="24"/>
                <w:szCs w:val="28"/>
              </w:rPr>
              <w:t>）</w:t>
            </w:r>
          </w:p>
        </w:tc>
        <w:tc>
          <w:tcPr>
            <w:tcW w:w="5643" w:type="dxa"/>
            <w:vAlign w:val="center"/>
          </w:tcPr>
          <w:p>
            <w:pP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最高控制费率：100%；按下浮率报价，等于控制费率即下浮0%得0分，在此基础上每下浮1%加1分，最多加</w:t>
            </w:r>
            <w:r>
              <w:rPr>
                <w:rFonts w:hint="eastAsia" w:cs="仿宋" w:asciiTheme="minorEastAsia" w:hAnsiTheme="minorEastAsia"/>
                <w:kern w:val="0"/>
                <w:sz w:val="24"/>
                <w:szCs w:val="28"/>
                <w:lang w:val="en-US" w:eastAsia="zh-CN"/>
              </w:rPr>
              <w:t>40</w:t>
            </w:r>
            <w:r>
              <w:rPr>
                <w:rFonts w:hint="eastAsia" w:cs="仿宋" w:asciiTheme="minorEastAsia" w:hAnsiTheme="minorEastAsia" w:eastAsiaTheme="minorEastAsia"/>
                <w:kern w:val="0"/>
                <w:sz w:val="24"/>
                <w:szCs w:val="28"/>
              </w:rPr>
              <w:t>分。</w:t>
            </w:r>
          </w:p>
          <w:p>
            <w:pPr>
              <w:rPr>
                <w:rFonts w:cs="仿宋" w:asciiTheme="minorEastAsia" w:hAnsiTheme="minorEastAsia" w:eastAsiaTheme="minorEastAsia"/>
                <w:kern w:val="0"/>
                <w:sz w:val="24"/>
                <w:szCs w:val="28"/>
              </w:rPr>
            </w:pPr>
            <w:r>
              <w:rPr>
                <w:rFonts w:hint="eastAsia" w:cs="仿宋" w:asciiTheme="minorEastAsia" w:hAnsiTheme="minorEastAsia" w:eastAsiaTheme="minorEastAsia"/>
                <w:kern w:val="0"/>
                <w:sz w:val="24"/>
                <w:szCs w:val="28"/>
              </w:rPr>
              <w:t>注：小数点后不保留.</w:t>
            </w:r>
          </w:p>
          <w:p>
            <w:pPr>
              <w:rPr>
                <w:rFonts w:cs="Times New Roman" w:asciiTheme="minorEastAsia" w:hAnsiTheme="minorEastAsia" w:eastAsiaTheme="minorEastAsia"/>
                <w:kern w:val="0"/>
                <w:sz w:val="24"/>
                <w:szCs w:val="24"/>
              </w:rPr>
            </w:pPr>
            <w:r>
              <w:rPr>
                <w:rFonts w:hint="eastAsia" w:cs="仿宋" w:asciiTheme="minorEastAsia" w:hAnsiTheme="minorEastAsia" w:eastAsiaTheme="minorEastAsia"/>
                <w:kern w:val="0"/>
                <w:sz w:val="24"/>
                <w:szCs w:val="28"/>
              </w:rPr>
              <w:t>例：1% 2% 3%....</w:t>
            </w:r>
          </w:p>
        </w:tc>
        <w:tc>
          <w:tcPr>
            <w:tcW w:w="1834" w:type="dxa"/>
            <w:vAlign w:val="center"/>
          </w:tcPr>
          <w:p>
            <w:pPr>
              <w:spacing w:line="560" w:lineRule="exact"/>
              <w:jc w:val="center"/>
              <w:rPr>
                <w:rFonts w:hint="default" w:cs="仿宋" w:asciiTheme="minorEastAsia" w:hAnsiTheme="minorEastAsia" w:eastAsiaTheme="minorEastAsia"/>
                <w:kern w:val="0"/>
                <w:sz w:val="24"/>
                <w:szCs w:val="28"/>
                <w:lang w:val="en-US" w:eastAsia="zh-CN"/>
              </w:rPr>
            </w:pPr>
            <w:r>
              <w:rPr>
                <w:rFonts w:hint="eastAsia" w:cs="仿宋" w:asciiTheme="minorEastAsia" w:hAnsiTheme="minorEastAsia" w:eastAsiaTheme="minorEastAsia"/>
                <w:kern w:val="0"/>
                <w:sz w:val="24"/>
                <w:szCs w:val="28"/>
              </w:rPr>
              <w:t>0-</w:t>
            </w:r>
            <w:r>
              <w:rPr>
                <w:rFonts w:hint="eastAsia" w:cs="仿宋" w:asciiTheme="minorEastAsia" w:hAnsiTheme="minorEastAsia"/>
                <w:kern w:val="0"/>
                <w:sz w:val="24"/>
                <w:szCs w:val="28"/>
                <w:lang w:val="en-US" w:eastAsia="zh-CN"/>
              </w:rPr>
              <w:t>40</w:t>
            </w:r>
          </w:p>
        </w:tc>
      </w:tr>
    </w:tbl>
    <w:p>
      <w:pPr>
        <w:widowControl/>
        <w:tabs>
          <w:tab w:val="left" w:pos="360"/>
          <w:tab w:val="left" w:pos="540"/>
          <w:tab w:val="left" w:pos="3600"/>
          <w:tab w:val="left" w:pos="3780"/>
          <w:tab w:val="left" w:pos="8460"/>
          <w:tab w:val="left" w:pos="9180"/>
        </w:tabs>
        <w:adjustRightInd w:val="0"/>
        <w:snapToGrid w:val="0"/>
        <w:spacing w:line="440" w:lineRule="exact"/>
        <w:ind w:right="-21" w:rightChars="-10" w:firstLine="440" w:firstLineChars="200"/>
        <w:rPr>
          <w:rFonts w:ascii="宋体" w:hAnsi="宋体"/>
          <w:b/>
          <w:sz w:val="22"/>
        </w:rPr>
      </w:pPr>
      <w:r>
        <w:rPr>
          <w:rFonts w:hint="eastAsia"/>
          <w:sz w:val="22"/>
        </w:rPr>
        <w:t>打分计算：</w:t>
      </w:r>
      <w:r>
        <w:rPr>
          <w:rFonts w:hint="eastAsia" w:ascii="宋体" w:hAnsi="宋体"/>
          <w:bCs/>
          <w:sz w:val="22"/>
        </w:rPr>
        <w:t>上述打分为各询比小组成员对每家询比人的所评分值的算术平均值。评分结果保留到小数点后两位，第三位四舍五入。</w:t>
      </w:r>
    </w:p>
    <w:p>
      <w:pPr>
        <w:ind w:firstLine="442" w:firstLineChars="200"/>
        <w:rPr>
          <w:rFonts w:ascii="宋体" w:hAnsi="宋体"/>
          <w:bCs/>
          <w:color w:val="auto"/>
          <w:sz w:val="22"/>
          <w:highlight w:val="none"/>
        </w:rPr>
      </w:pPr>
      <w:r>
        <w:rPr>
          <w:rFonts w:hint="eastAsia" w:ascii="宋体" w:hAnsi="宋体"/>
          <w:b/>
          <w:sz w:val="22"/>
        </w:rPr>
        <w:t>中标候选人推荐：</w:t>
      </w:r>
      <w:r>
        <w:rPr>
          <w:rFonts w:hint="eastAsia" w:ascii="宋体" w:hAnsi="宋体" w:cs="宋体"/>
          <w:color w:val="auto"/>
          <w:kern w:val="0"/>
          <w:sz w:val="28"/>
          <w:szCs w:val="24"/>
          <w:highlight w:val="none"/>
        </w:rPr>
        <w:t>此次询比成交</w:t>
      </w:r>
      <w:r>
        <w:rPr>
          <w:rFonts w:hint="eastAsia" w:ascii="宋体" w:hAnsi="宋体" w:cs="宋体"/>
          <w:color w:val="auto"/>
          <w:kern w:val="0"/>
          <w:sz w:val="28"/>
          <w:szCs w:val="24"/>
          <w:highlight w:val="none"/>
          <w:lang w:val="en-US" w:eastAsia="zh-CN"/>
        </w:rPr>
        <w:t>三</w:t>
      </w:r>
      <w:r>
        <w:rPr>
          <w:rFonts w:hint="eastAsia" w:ascii="宋体" w:hAnsi="宋体" w:cs="宋体"/>
          <w:color w:val="auto"/>
          <w:kern w:val="0"/>
          <w:sz w:val="28"/>
          <w:szCs w:val="24"/>
          <w:highlight w:val="none"/>
        </w:rPr>
        <w:t>家。询比小组依据询比人综合得分由高到低的顺序进行排名。</w:t>
      </w:r>
    </w:p>
    <w:p>
      <w:pPr>
        <w:ind w:firstLine="420" w:firstLineChars="200"/>
      </w:pPr>
      <w:r>
        <w:rPr>
          <w:rFonts w:hint="eastAsia" w:ascii="宋体" w:hAnsi="宋体"/>
          <w:bCs/>
        </w:rPr>
        <w:t>如果出现得分相同者，则由询比小组通过随机抽取的方式确定中标候选人排名顺序。</w:t>
      </w:r>
    </w:p>
    <w:p>
      <w:pPr>
        <w:widowControl/>
        <w:shd w:val="clear" w:color="auto" w:fill="FFFFFF"/>
        <w:spacing w:before="100" w:beforeAutospacing="1" w:after="100" w:afterAutospacing="1" w:line="440" w:lineRule="atLeast"/>
        <w:ind w:right="-10" w:firstLine="480"/>
        <w:rPr>
          <w:rFonts w:ascii="宋体" w:hAnsi="宋体" w:cs="宋体"/>
          <w:b/>
          <w:bCs/>
          <w:color w:val="000000"/>
          <w:kern w:val="0"/>
          <w:sz w:val="24"/>
          <w:szCs w:val="24"/>
        </w:rPr>
      </w:pPr>
    </w:p>
    <w:p>
      <w:pPr>
        <w:widowControl/>
        <w:shd w:val="clear" w:color="auto" w:fill="FFFFFF"/>
        <w:spacing w:before="100" w:beforeAutospacing="1" w:after="100" w:afterAutospacing="1" w:line="440" w:lineRule="atLeast"/>
        <w:ind w:right="-10" w:firstLine="480"/>
        <w:rPr>
          <w:rFonts w:ascii="宋体" w:hAnsi="宋体" w:cs="宋体"/>
          <w:color w:val="000000"/>
          <w:kern w:val="0"/>
          <w:sz w:val="27"/>
          <w:szCs w:val="27"/>
        </w:rPr>
      </w:pPr>
      <w:r>
        <w:rPr>
          <w:rFonts w:hint="eastAsia" w:ascii="宋体" w:hAnsi="宋体" w:cs="宋体"/>
          <w:b/>
          <w:bCs/>
          <w:color w:val="000000"/>
          <w:kern w:val="0"/>
          <w:sz w:val="24"/>
          <w:szCs w:val="24"/>
        </w:rPr>
        <w:t>第十二条</w:t>
      </w:r>
      <w:r>
        <w:rPr>
          <w:rFonts w:hint="eastAsia" w:ascii="宋体" w:hAnsi="宋体" w:cs="宋体"/>
          <w:color w:val="000000"/>
          <w:kern w:val="0"/>
          <w:sz w:val="24"/>
          <w:szCs w:val="24"/>
        </w:rPr>
        <w:t> 计算错误的修正</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7"/>
          <w:szCs w:val="27"/>
        </w:rPr>
      </w:pPr>
      <w:r>
        <w:rPr>
          <w:rFonts w:hint="eastAsia" w:ascii="宋体" w:hAnsi="宋体" w:cs="宋体"/>
          <w:color w:val="000000"/>
          <w:kern w:val="0"/>
          <w:sz w:val="24"/>
          <w:szCs w:val="24"/>
        </w:rPr>
        <w:t>（1）如果投标报价中单价与数量的乘积与总价有出入，则以单价为准，修正总价。若金额的大写与小写之间有出入，则以大写金额为准。若询比人拒绝上述修正，其投标将被否决。</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7"/>
          <w:szCs w:val="27"/>
        </w:rPr>
      </w:pPr>
      <w:r>
        <w:rPr>
          <w:rFonts w:hint="eastAsia" w:ascii="宋体" w:hAnsi="宋体" w:cs="宋体"/>
          <w:color w:val="000000"/>
          <w:kern w:val="0"/>
          <w:sz w:val="24"/>
          <w:szCs w:val="24"/>
        </w:rPr>
        <w:t>（2）按照上述规定进行修正后的投标报价经询比人的法定代表人或其委托代理人签字确认后即为该询比人的最终投标报价，该报价作为投标报价评分的依据。</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7"/>
          <w:szCs w:val="27"/>
        </w:rPr>
      </w:pPr>
      <w:r>
        <w:rPr>
          <w:rFonts w:hint="eastAsia" w:ascii="宋体" w:hAnsi="宋体" w:cs="宋体"/>
          <w:b/>
          <w:bCs/>
          <w:color w:val="000000"/>
          <w:kern w:val="0"/>
          <w:sz w:val="24"/>
          <w:szCs w:val="24"/>
        </w:rPr>
        <w:t>第十三条 </w:t>
      </w:r>
      <w:r>
        <w:rPr>
          <w:rFonts w:hint="eastAsia" w:ascii="宋体" w:hAnsi="宋体" w:cs="宋体"/>
          <w:color w:val="000000"/>
          <w:kern w:val="0"/>
          <w:sz w:val="24"/>
          <w:szCs w:val="24"/>
        </w:rPr>
        <w:t>评委独立评审后，询比小组对询比人某项指标如有不同意见，按照少数服从多数的原则，确定该项指标是否通过。符合评审指标通过标准的，为有效投标。</w:t>
      </w:r>
    </w:p>
    <w:p>
      <w:pPr>
        <w:widowControl/>
        <w:shd w:val="clear" w:color="auto" w:fill="FFFFFF"/>
        <w:spacing w:before="100" w:beforeAutospacing="1" w:after="100" w:afterAutospacing="1" w:line="440" w:lineRule="atLeast"/>
        <w:ind w:right="-10" w:firstLine="482"/>
        <w:rPr>
          <w:rFonts w:ascii="宋体" w:hAnsi="宋体" w:cs="宋体"/>
          <w:color w:val="000000"/>
          <w:kern w:val="0"/>
          <w:sz w:val="27"/>
          <w:szCs w:val="27"/>
        </w:rPr>
      </w:pPr>
      <w:r>
        <w:rPr>
          <w:rFonts w:hint="eastAsia" w:ascii="宋体" w:hAnsi="宋体" w:cs="宋体"/>
          <w:b/>
          <w:bCs/>
          <w:color w:val="000000"/>
          <w:kern w:val="0"/>
          <w:sz w:val="24"/>
          <w:szCs w:val="24"/>
        </w:rPr>
        <w:t>第十四条 </w:t>
      </w:r>
      <w:r>
        <w:rPr>
          <w:rFonts w:hint="eastAsia" w:ascii="宋体" w:hAnsi="宋体" w:cs="宋体"/>
          <w:color w:val="000000"/>
          <w:kern w:val="0"/>
          <w:sz w:val="24"/>
          <w:szCs w:val="24"/>
        </w:rPr>
        <w:t>在评审过程中，询比小组发现询比人的报价可能低于其成本的，应当要求该询比人作出书面说明并提供相关证明材料。询比人不能合理说明或者不能提供相关证明材料的，由询比小组认定该询比人以低于成本报价竞标，其投标无效。</w:t>
      </w:r>
    </w:p>
    <w:p>
      <w:pPr>
        <w:widowControl/>
        <w:shd w:val="clear" w:color="auto" w:fill="FFFFFF"/>
        <w:spacing w:before="100" w:beforeAutospacing="1" w:after="100" w:afterAutospacing="1" w:line="440" w:lineRule="atLeast"/>
        <w:ind w:firstLine="470"/>
        <w:rPr>
          <w:rFonts w:ascii="宋体" w:hAnsi="宋体" w:cs="宋体"/>
          <w:color w:val="000000"/>
          <w:kern w:val="0"/>
          <w:sz w:val="24"/>
          <w:szCs w:val="24"/>
        </w:rPr>
      </w:pPr>
      <w:r>
        <w:rPr>
          <w:rFonts w:hint="eastAsia" w:ascii="宋体" w:hAnsi="宋体" w:cs="宋体"/>
          <w:b/>
          <w:bCs/>
          <w:color w:val="000000"/>
          <w:kern w:val="0"/>
          <w:sz w:val="24"/>
          <w:szCs w:val="24"/>
        </w:rPr>
        <w:t>第十五条 </w:t>
      </w:r>
      <w:r>
        <w:rPr>
          <w:rFonts w:hint="eastAsia" w:ascii="宋体" w:hAnsi="宋体" w:cs="宋体"/>
          <w:color w:val="000000"/>
          <w:kern w:val="0"/>
          <w:sz w:val="24"/>
          <w:szCs w:val="24"/>
        </w:rPr>
        <w:t>询比小组在评标过程中发现的问题，应当及时作出处理或者向采购人提出处理建议，并作书面记录。</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第十六条 </w:t>
      </w:r>
      <w:r>
        <w:rPr>
          <w:rFonts w:hint="eastAsia" w:ascii="宋体" w:hAnsi="宋体" w:cs="宋体"/>
          <w:color w:val="000000"/>
          <w:kern w:val="0"/>
          <w:sz w:val="24"/>
          <w:szCs w:val="24"/>
        </w:rPr>
        <w:t>评标后，询比小组应写出评标报告并签字。评标报告是询比小组根据全体评标成员签字的原始评标记录和评标结果编写的报告，询比小组全体成员及监督员均须在评标报告上签字。评标报告应如实记录本次评标的主要过程，全面反映评标过程中的各种不同的意见，以及其他澄清、说明、补正事项。</w:t>
      </w:r>
    </w:p>
    <w:p>
      <w:pPr>
        <w:widowControl/>
        <w:shd w:val="clear" w:color="auto" w:fill="FFFFFF"/>
        <w:spacing w:before="100" w:beforeAutospacing="1" w:after="100" w:afterAutospacing="1" w:line="440" w:lineRule="atLeast"/>
        <w:ind w:right="-10"/>
        <w:jc w:val="center"/>
        <w:rPr>
          <w:rFonts w:ascii="宋体" w:hAnsi="宋体" w:cs="宋体"/>
          <w:color w:val="000000"/>
          <w:kern w:val="0"/>
          <w:sz w:val="24"/>
          <w:szCs w:val="24"/>
        </w:rPr>
      </w:pPr>
      <w:r>
        <w:rPr>
          <w:rFonts w:hint="eastAsia" w:ascii="宋体" w:hAnsi="宋体" w:cs="宋体"/>
          <w:b/>
          <w:bCs/>
          <w:color w:val="000000"/>
          <w:kern w:val="0"/>
          <w:sz w:val="24"/>
          <w:szCs w:val="24"/>
        </w:rPr>
        <w:t>三、评标纪律</w:t>
      </w:r>
    </w:p>
    <w:p>
      <w:pPr>
        <w:widowControl/>
        <w:shd w:val="clear" w:color="auto" w:fill="FFFFFF"/>
        <w:spacing w:before="100" w:beforeAutospacing="1" w:after="100" w:afterAutospacing="1" w:line="440" w:lineRule="atLeast"/>
        <w:ind w:right="-10"/>
        <w:rPr>
          <w:rFonts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b/>
          <w:bCs/>
          <w:color w:val="000000"/>
          <w:kern w:val="0"/>
          <w:sz w:val="24"/>
          <w:szCs w:val="24"/>
        </w:rPr>
        <w:t>第十七条</w:t>
      </w:r>
      <w:r>
        <w:rPr>
          <w:rFonts w:hint="eastAsia" w:ascii="宋体" w:hAnsi="宋体" w:cs="宋体"/>
          <w:color w:val="000000"/>
          <w:kern w:val="0"/>
          <w:sz w:val="24"/>
          <w:szCs w:val="24"/>
        </w:rPr>
        <w:t> 询比小组和评标工作人员应严格遵守国家的法律、法规和规章制度；严格按照本次询比文件进行评标；公正廉洁、不徇私情，不得损害国家利益；保护招、询比人的合法权益。</w:t>
      </w:r>
    </w:p>
    <w:p>
      <w:pPr>
        <w:widowControl/>
        <w:shd w:val="clear" w:color="auto" w:fill="FFFFFF"/>
        <w:spacing w:before="100" w:beforeAutospacing="1" w:after="100" w:afterAutospacing="1" w:line="440" w:lineRule="atLeast"/>
        <w:ind w:right="-10" w:firstLine="480"/>
        <w:rPr>
          <w:rFonts w:ascii="宋体" w:hAnsi="宋体" w:cs="宋体"/>
          <w:color w:val="000000"/>
          <w:kern w:val="0"/>
          <w:sz w:val="24"/>
          <w:szCs w:val="24"/>
        </w:rPr>
      </w:pPr>
      <w:r>
        <w:rPr>
          <w:rFonts w:hint="eastAsia" w:ascii="宋体" w:hAnsi="宋体" w:cs="宋体"/>
          <w:b/>
          <w:bCs/>
          <w:color w:val="000000"/>
          <w:kern w:val="0"/>
          <w:sz w:val="24"/>
          <w:szCs w:val="24"/>
        </w:rPr>
        <w:t>第十八条</w:t>
      </w:r>
      <w:r>
        <w:rPr>
          <w:rFonts w:hint="eastAsia" w:ascii="宋体" w:hAnsi="宋体" w:cs="宋体"/>
          <w:color w:val="000000"/>
          <w:kern w:val="0"/>
          <w:sz w:val="24"/>
          <w:szCs w:val="24"/>
        </w:rPr>
        <w:t> 在评标过程中，评委及评标工作人员必须对评标情况严格保密，任何人不得将评标情况透露给与询比人有关的单位和个人。如有违反评标纪律的情况发生，将依据《中华人民共和国政府采购法》及其他有关法律法规的规定，追究有关当事人的责任。</w:t>
      </w:r>
    </w:p>
    <w:p>
      <w:pPr>
        <w:widowControl/>
        <w:shd w:val="clear" w:color="auto" w:fill="FFFFFF"/>
        <w:spacing w:before="100" w:beforeAutospacing="1" w:after="100" w:afterAutospacing="1" w:line="440" w:lineRule="atLeast"/>
        <w:ind w:firstLine="480"/>
        <w:jc w:val="left"/>
        <w:rPr>
          <w:rFonts w:ascii="宋体" w:hAnsi="宋体" w:cs="宋体"/>
          <w:color w:val="000000"/>
          <w:kern w:val="0"/>
          <w:sz w:val="24"/>
          <w:szCs w:val="24"/>
        </w:rPr>
      </w:pPr>
      <w:r>
        <w:rPr>
          <w:rFonts w:hint="eastAsia" w:ascii="宋体" w:hAnsi="宋体" w:cs="宋体"/>
          <w:b/>
          <w:bCs/>
          <w:color w:val="000000"/>
          <w:kern w:val="0"/>
          <w:sz w:val="24"/>
          <w:szCs w:val="24"/>
        </w:rPr>
        <w:t>第十九条 </w:t>
      </w:r>
      <w:r>
        <w:rPr>
          <w:rFonts w:hint="eastAsia" w:ascii="宋体" w:hAnsi="宋体" w:cs="宋体"/>
          <w:color w:val="000000"/>
          <w:kern w:val="0"/>
          <w:sz w:val="24"/>
          <w:szCs w:val="24"/>
        </w:rPr>
        <w:t>本评标办法的解释权属于采购人。</w:t>
      </w:r>
    </w:p>
    <w:p>
      <w:pPr>
        <w:widowControl/>
        <w:jc w:val="left"/>
        <w:rPr>
          <w:rFonts w:ascii="宋体" w:hAnsi="宋体" w:cs="宋体"/>
          <w:b/>
          <w:bCs/>
          <w:color w:val="000000"/>
          <w:kern w:val="0"/>
          <w:sz w:val="42"/>
          <w:szCs w:val="42"/>
        </w:rPr>
      </w:pPr>
      <w:r>
        <w:rPr>
          <w:rFonts w:ascii="宋体" w:hAnsi="宋体" w:cs="宋体"/>
          <w:b/>
          <w:bCs/>
          <w:color w:val="000000"/>
          <w:kern w:val="0"/>
          <w:sz w:val="42"/>
          <w:szCs w:val="42"/>
        </w:rPr>
        <w:br w:type="page"/>
      </w:r>
    </w:p>
    <w:p>
      <w:pPr>
        <w:widowControl/>
        <w:shd w:val="clear" w:color="auto" w:fill="FFFFFF"/>
        <w:spacing w:before="100" w:beforeAutospacing="1" w:after="100" w:afterAutospacing="1" w:line="500" w:lineRule="atLeast"/>
        <w:jc w:val="center"/>
        <w:outlineLvl w:val="0"/>
        <w:rPr>
          <w:rFonts w:ascii="宋体" w:hAnsi="宋体" w:cs="宋体"/>
          <w:b/>
          <w:bCs/>
          <w:color w:val="000000"/>
          <w:kern w:val="0"/>
          <w:sz w:val="42"/>
          <w:szCs w:val="42"/>
        </w:rPr>
      </w:pPr>
      <w:bookmarkStart w:id="7" w:name="_Toc118998703"/>
      <w:r>
        <w:rPr>
          <w:rFonts w:hint="eastAsia" w:ascii="宋体" w:hAnsi="宋体" w:cs="宋体"/>
          <w:b/>
          <w:bCs/>
          <w:color w:val="000000"/>
          <w:kern w:val="0"/>
          <w:sz w:val="42"/>
          <w:szCs w:val="42"/>
        </w:rPr>
        <w:t>第五章</w:t>
      </w:r>
      <w:bookmarkStart w:id="8" w:name="_Toc220232392"/>
      <w:bookmarkEnd w:id="8"/>
      <w:r>
        <w:rPr>
          <w:rFonts w:hint="eastAsia" w:ascii="宋体" w:hAnsi="宋体" w:cs="宋体"/>
          <w:b/>
          <w:bCs/>
          <w:color w:val="000000"/>
          <w:kern w:val="0"/>
          <w:sz w:val="42"/>
          <w:szCs w:val="42"/>
        </w:rPr>
        <w:t> </w:t>
      </w:r>
      <w:bookmarkStart w:id="9" w:name="_Toc282517739"/>
      <w:bookmarkEnd w:id="9"/>
      <w:r>
        <w:rPr>
          <w:rFonts w:hint="eastAsia" w:ascii="宋体" w:hAnsi="宋体" w:cs="宋体"/>
          <w:b/>
          <w:bCs/>
          <w:color w:val="000000"/>
          <w:kern w:val="0"/>
          <w:sz w:val="42"/>
          <w:szCs w:val="42"/>
        </w:rPr>
        <w:t>询比响应文件格式</w:t>
      </w:r>
      <w:bookmarkEnd w:id="7"/>
    </w:p>
    <w:p>
      <w:pPr>
        <w:jc w:val="center"/>
        <w:rPr>
          <w:b/>
          <w:sz w:val="36"/>
          <w:szCs w:val="36"/>
        </w:rPr>
      </w:pPr>
      <w:r>
        <w:rPr>
          <w:rFonts w:hint="eastAsia"/>
          <w:b/>
          <w:sz w:val="36"/>
          <w:szCs w:val="36"/>
        </w:rPr>
        <w:t>蚌埠</w:t>
      </w:r>
      <w:r>
        <w:rPr>
          <w:rFonts w:hint="eastAsia"/>
          <w:b/>
          <w:sz w:val="36"/>
          <w:szCs w:val="36"/>
          <w:lang w:val="en-US" w:eastAsia="zh-CN"/>
        </w:rPr>
        <w:t>市中医医院住院综合楼项目</w:t>
      </w:r>
      <w:r>
        <w:rPr>
          <w:rFonts w:hint="eastAsia"/>
          <w:b/>
          <w:sz w:val="36"/>
          <w:szCs w:val="36"/>
        </w:rPr>
        <w:t>造价咨询服务</w:t>
      </w:r>
    </w:p>
    <w:p>
      <w:pPr>
        <w:widowControl/>
        <w:shd w:val="clear" w:color="auto" w:fill="FFFFFF"/>
        <w:spacing w:before="100" w:beforeAutospacing="1" w:after="100" w:afterAutospacing="1" w:line="500" w:lineRule="atLeast"/>
        <w:jc w:val="center"/>
        <w:rPr>
          <w:rFonts w:ascii="宋体" w:hAnsi="宋体" w:cs="宋体"/>
          <w:color w:val="000000"/>
          <w:kern w:val="0"/>
          <w:sz w:val="24"/>
          <w:szCs w:val="24"/>
        </w:rPr>
      </w:pPr>
      <w:r>
        <w:rPr>
          <w:rFonts w:hint="eastAsia" w:ascii="宋体" w:hAnsi="宋体" w:cs="宋体"/>
          <w:b/>
          <w:bCs/>
          <w:color w:val="000000"/>
          <w:kern w:val="0"/>
          <w:sz w:val="30"/>
          <w:szCs w:val="30"/>
        </w:rPr>
        <w:t>（正本或副本）</w:t>
      </w:r>
    </w:p>
    <w:p>
      <w:pPr>
        <w:widowControl/>
        <w:shd w:val="clear" w:color="auto" w:fill="FFFFFF"/>
        <w:spacing w:before="100" w:beforeAutospacing="1" w:after="100" w:afterAutospacing="1" w:line="900" w:lineRule="atLeast"/>
        <w:jc w:val="center"/>
        <w:rPr>
          <w:rFonts w:ascii="宋体" w:hAnsi="宋体" w:cs="宋体"/>
          <w:color w:val="000000"/>
          <w:kern w:val="0"/>
          <w:sz w:val="72"/>
          <w:szCs w:val="72"/>
        </w:rPr>
      </w:pPr>
      <w:r>
        <w:rPr>
          <w:rFonts w:hint="eastAsia" w:ascii="宋体" w:hAnsi="宋体" w:cs="宋体"/>
          <w:color w:val="000000"/>
          <w:kern w:val="0"/>
          <w:sz w:val="72"/>
          <w:szCs w:val="72"/>
        </w:rPr>
        <w:t>询</w:t>
      </w:r>
    </w:p>
    <w:p>
      <w:pPr>
        <w:widowControl/>
        <w:shd w:val="clear" w:color="auto" w:fill="FFFFFF"/>
        <w:spacing w:before="100" w:beforeAutospacing="1" w:after="100" w:afterAutospacing="1" w:line="900" w:lineRule="atLeast"/>
        <w:jc w:val="center"/>
        <w:rPr>
          <w:rFonts w:ascii="宋体" w:hAnsi="宋体" w:cs="宋体"/>
          <w:color w:val="000000"/>
          <w:kern w:val="0"/>
          <w:sz w:val="72"/>
          <w:szCs w:val="72"/>
        </w:rPr>
      </w:pPr>
      <w:r>
        <w:rPr>
          <w:rFonts w:hint="eastAsia" w:ascii="宋体" w:hAnsi="宋体" w:cs="宋体"/>
          <w:color w:val="000000"/>
          <w:kern w:val="0"/>
          <w:sz w:val="72"/>
          <w:szCs w:val="72"/>
        </w:rPr>
        <w:t>比</w:t>
      </w:r>
    </w:p>
    <w:p>
      <w:pPr>
        <w:widowControl/>
        <w:shd w:val="clear" w:color="auto" w:fill="FFFFFF"/>
        <w:spacing w:before="100" w:beforeAutospacing="1" w:after="100" w:afterAutospacing="1" w:line="900" w:lineRule="atLeast"/>
        <w:jc w:val="center"/>
        <w:rPr>
          <w:rFonts w:ascii="宋体" w:hAnsi="宋体" w:cs="宋体"/>
          <w:color w:val="000000"/>
          <w:kern w:val="0"/>
          <w:sz w:val="24"/>
          <w:szCs w:val="24"/>
        </w:rPr>
      </w:pPr>
      <w:r>
        <w:rPr>
          <w:rFonts w:hint="eastAsia" w:ascii="宋体" w:hAnsi="宋体" w:cs="宋体"/>
          <w:color w:val="000000"/>
          <w:kern w:val="0"/>
          <w:sz w:val="72"/>
          <w:szCs w:val="72"/>
        </w:rPr>
        <w:t>响</w:t>
      </w:r>
    </w:p>
    <w:p>
      <w:pPr>
        <w:widowControl/>
        <w:shd w:val="clear" w:color="auto" w:fill="FFFFFF"/>
        <w:spacing w:before="100" w:beforeAutospacing="1" w:after="100" w:afterAutospacing="1" w:line="900" w:lineRule="atLeast"/>
        <w:jc w:val="center"/>
        <w:rPr>
          <w:rFonts w:ascii="宋体" w:hAnsi="宋体" w:cs="宋体"/>
          <w:color w:val="000000"/>
          <w:kern w:val="0"/>
          <w:sz w:val="24"/>
          <w:szCs w:val="24"/>
        </w:rPr>
      </w:pPr>
      <w:r>
        <w:rPr>
          <w:rFonts w:hint="eastAsia" w:ascii="宋体" w:hAnsi="宋体" w:cs="宋体"/>
          <w:color w:val="000000"/>
          <w:kern w:val="0"/>
          <w:sz w:val="72"/>
          <w:szCs w:val="72"/>
        </w:rPr>
        <w:t>应</w:t>
      </w:r>
    </w:p>
    <w:p>
      <w:pPr>
        <w:widowControl/>
        <w:shd w:val="clear" w:color="auto" w:fill="FFFFFF"/>
        <w:spacing w:before="100" w:beforeAutospacing="1" w:after="100" w:afterAutospacing="1" w:line="900" w:lineRule="atLeast"/>
        <w:jc w:val="center"/>
        <w:rPr>
          <w:rFonts w:ascii="宋体" w:hAnsi="宋体" w:cs="宋体"/>
          <w:color w:val="000000"/>
          <w:kern w:val="0"/>
          <w:sz w:val="24"/>
          <w:szCs w:val="24"/>
        </w:rPr>
      </w:pPr>
      <w:r>
        <w:rPr>
          <w:rFonts w:hint="eastAsia" w:ascii="宋体" w:hAnsi="宋体" w:cs="宋体"/>
          <w:color w:val="000000"/>
          <w:kern w:val="0"/>
          <w:sz w:val="72"/>
          <w:szCs w:val="72"/>
        </w:rPr>
        <w:t>文</w:t>
      </w:r>
    </w:p>
    <w:p>
      <w:pPr>
        <w:widowControl/>
        <w:shd w:val="clear" w:color="auto" w:fill="FFFFFF"/>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72"/>
          <w:szCs w:val="72"/>
        </w:rPr>
        <w:t>件</w:t>
      </w:r>
    </w:p>
    <w:p>
      <w:pPr>
        <w:widowControl/>
        <w:shd w:val="clear" w:color="auto" w:fill="FFFFFF"/>
        <w:spacing w:before="100" w:beforeAutospacing="1" w:after="100" w:afterAutospacing="1"/>
        <w:jc w:val="center"/>
        <w:rPr>
          <w:rFonts w:ascii="宋体" w:hAnsi="宋体" w:cs="宋体"/>
          <w:color w:val="000000"/>
          <w:kern w:val="0"/>
          <w:sz w:val="24"/>
          <w:szCs w:val="24"/>
        </w:rPr>
      </w:pPr>
    </w:p>
    <w:p>
      <w:pPr>
        <w:widowControl/>
        <w:shd w:val="clear" w:color="auto" w:fill="FFFFFF"/>
        <w:spacing w:before="100" w:beforeAutospacing="1" w:after="100" w:afterAutospacing="1" w:line="500" w:lineRule="atLeast"/>
        <w:rPr>
          <w:rFonts w:ascii="宋体" w:hAnsi="宋体" w:cs="宋体"/>
          <w:color w:val="000000"/>
          <w:kern w:val="0"/>
          <w:sz w:val="24"/>
          <w:szCs w:val="24"/>
        </w:rPr>
      </w:pPr>
      <w:r>
        <w:rPr>
          <w:rFonts w:hint="eastAsia" w:ascii="宋体" w:hAnsi="宋体" w:cs="宋体"/>
          <w:b/>
          <w:bCs/>
          <w:color w:val="000000"/>
          <w:kern w:val="0"/>
          <w:sz w:val="30"/>
          <w:szCs w:val="30"/>
        </w:rPr>
        <w:t>  </w:t>
      </w:r>
      <w:r>
        <w:rPr>
          <w:rFonts w:hint="eastAsia" w:ascii="宋体" w:hAnsi="宋体" w:cs="宋体"/>
          <w:b/>
          <w:bCs/>
          <w:color w:val="000000"/>
          <w:kern w:val="0"/>
          <w:sz w:val="32"/>
          <w:szCs w:val="32"/>
        </w:rPr>
        <w:t>询比人：</w:t>
      </w:r>
      <w:r>
        <w:rPr>
          <w:rFonts w:hint="eastAsia" w:ascii="宋体" w:hAnsi="宋体" w:cs="宋体"/>
          <w:b/>
          <w:bCs/>
          <w:color w:val="000000"/>
          <w:kern w:val="0"/>
          <w:sz w:val="32"/>
          <w:szCs w:val="32"/>
          <w:u w:val="single"/>
        </w:rPr>
        <w:t>                 </w:t>
      </w:r>
    </w:p>
    <w:p>
      <w:pPr>
        <w:widowControl/>
        <w:shd w:val="clear" w:color="auto" w:fill="FFFFFF"/>
        <w:spacing w:before="100" w:beforeAutospacing="1" w:after="100" w:afterAutospacing="1" w:line="500" w:lineRule="atLeast"/>
        <w:jc w:val="center"/>
        <w:rPr>
          <w:rFonts w:ascii="宋体" w:hAnsi="宋体" w:cs="宋体"/>
          <w:color w:val="000000"/>
          <w:kern w:val="0"/>
          <w:sz w:val="24"/>
          <w:szCs w:val="24"/>
        </w:rPr>
      </w:pPr>
      <w:r>
        <w:rPr>
          <w:rFonts w:hint="eastAsia" w:ascii="宋体" w:hAnsi="宋体" w:cs="宋体"/>
          <w:b/>
          <w:bCs/>
          <w:color w:val="000000"/>
          <w:kern w:val="0"/>
          <w:sz w:val="32"/>
          <w:szCs w:val="32"/>
          <w:u w:val="single"/>
        </w:rPr>
        <w:t>   </w:t>
      </w:r>
      <w:r>
        <w:rPr>
          <w:rFonts w:hint="eastAsia" w:ascii="宋体" w:hAnsi="宋体" w:cs="宋体"/>
          <w:b/>
          <w:bCs/>
          <w:color w:val="000000"/>
          <w:kern w:val="0"/>
          <w:sz w:val="32"/>
          <w:szCs w:val="32"/>
        </w:rPr>
        <w:t>年</w:t>
      </w:r>
      <w:r>
        <w:rPr>
          <w:rFonts w:hint="eastAsia" w:ascii="宋体" w:hAnsi="宋体" w:cs="宋体"/>
          <w:b/>
          <w:bCs/>
          <w:color w:val="000000"/>
          <w:kern w:val="0"/>
          <w:sz w:val="32"/>
          <w:szCs w:val="32"/>
          <w:u w:val="single"/>
        </w:rPr>
        <w:t>   </w:t>
      </w:r>
      <w:r>
        <w:rPr>
          <w:rFonts w:hint="eastAsia" w:ascii="宋体" w:hAnsi="宋体" w:cs="宋体"/>
          <w:b/>
          <w:bCs/>
          <w:color w:val="000000"/>
          <w:kern w:val="0"/>
          <w:sz w:val="32"/>
          <w:szCs w:val="32"/>
        </w:rPr>
        <w:t>月</w:t>
      </w:r>
      <w:r>
        <w:rPr>
          <w:rFonts w:hint="eastAsia" w:ascii="宋体" w:hAnsi="宋体" w:cs="宋体"/>
          <w:b/>
          <w:bCs/>
          <w:color w:val="000000"/>
          <w:kern w:val="0"/>
          <w:sz w:val="32"/>
          <w:szCs w:val="32"/>
          <w:u w:val="single"/>
        </w:rPr>
        <w:t>   </w:t>
      </w:r>
      <w:r>
        <w:rPr>
          <w:rFonts w:hint="eastAsia" w:ascii="宋体" w:hAnsi="宋体" w:cs="宋体"/>
          <w:b/>
          <w:bCs/>
          <w:color w:val="000000"/>
          <w:kern w:val="0"/>
          <w:sz w:val="32"/>
          <w:szCs w:val="32"/>
        </w:rPr>
        <w:t>日</w:t>
      </w:r>
      <w:bookmarkStart w:id="10" w:name="_Hlt50174708"/>
      <w:bookmarkEnd w:id="10"/>
      <w:bookmarkStart w:id="11" w:name="_Hlt509738509"/>
      <w:bookmarkEnd w:id="11"/>
      <w:bookmarkStart w:id="12" w:name="_Hlt519068595"/>
      <w:bookmarkEnd w:id="12"/>
      <w:bookmarkStart w:id="13" w:name="_Hlt533408877"/>
      <w:bookmarkEnd w:id="13"/>
      <w:bookmarkStart w:id="14" w:name="_Toc269135708"/>
      <w:bookmarkEnd w:id="14"/>
      <w:bookmarkStart w:id="15" w:name="_Toc197934561"/>
      <w:bookmarkEnd w:id="15"/>
      <w:bookmarkStart w:id="16" w:name="_Hlt509738521"/>
      <w:bookmarkEnd w:id="16"/>
      <w:bookmarkStart w:id="17" w:name="_Hlt50174972"/>
      <w:bookmarkEnd w:id="17"/>
      <w:bookmarkStart w:id="18" w:name="_Hlt519045470"/>
      <w:bookmarkEnd w:id="18"/>
      <w:bookmarkStart w:id="19" w:name="_Hlt50174722"/>
      <w:bookmarkEnd w:id="19"/>
      <w:bookmarkStart w:id="20" w:name="_Toc282517740"/>
      <w:bookmarkEnd w:id="20"/>
      <w:bookmarkStart w:id="21" w:name="_Hlt519045391"/>
      <w:bookmarkEnd w:id="21"/>
    </w:p>
    <w:p>
      <w:pPr>
        <w:widowControl/>
        <w:shd w:val="clear" w:color="auto" w:fill="FFFFFF"/>
        <w:spacing w:before="100" w:beforeAutospacing="1" w:after="100" w:afterAutospacing="1"/>
        <w:jc w:val="center"/>
        <w:rPr>
          <w:rFonts w:ascii="宋体" w:hAnsi="宋体" w:cs="宋体"/>
          <w:color w:val="000000"/>
          <w:kern w:val="0"/>
          <w:sz w:val="24"/>
          <w:szCs w:val="24"/>
        </w:rPr>
      </w:pPr>
      <w:r>
        <w:rPr>
          <w:rFonts w:ascii="Times New Roman" w:hAnsi="Times New Roman"/>
          <w:color w:val="000000"/>
          <w:kern w:val="0"/>
          <w:sz w:val="30"/>
          <w:szCs w:val="30"/>
        </w:rPr>
        <w:t> </w:t>
      </w:r>
    </w:p>
    <w:p>
      <w:pPr>
        <w:widowControl/>
        <w:shd w:val="clear" w:color="auto" w:fill="FFFFFF"/>
        <w:spacing w:before="100" w:beforeAutospacing="1" w:after="100" w:afterAutospacing="1"/>
        <w:jc w:val="center"/>
        <w:rPr>
          <w:rFonts w:ascii="宋体" w:hAnsi="宋体" w:cs="宋体"/>
          <w:color w:val="000000"/>
          <w:kern w:val="0"/>
          <w:sz w:val="24"/>
          <w:szCs w:val="24"/>
        </w:rPr>
      </w:pPr>
    </w:p>
    <w:p>
      <w:pPr>
        <w:widowControl/>
        <w:shd w:val="clear" w:color="auto" w:fill="FFFFFF"/>
        <w:spacing w:before="100" w:beforeAutospacing="1" w:after="100" w:afterAutospacing="1"/>
        <w:jc w:val="center"/>
        <w:rPr>
          <w:rFonts w:ascii="宋体" w:hAnsi="宋体" w:cs="宋体"/>
          <w:color w:val="000000"/>
          <w:kern w:val="0"/>
          <w:sz w:val="24"/>
          <w:szCs w:val="24"/>
        </w:rPr>
      </w:pPr>
      <w:r>
        <w:rPr>
          <w:rFonts w:ascii="Times New Roman" w:hAnsi="Times New Roman"/>
          <w:color w:val="000000"/>
          <w:kern w:val="0"/>
          <w:sz w:val="30"/>
          <w:szCs w:val="30"/>
        </w:rPr>
        <w:t> </w:t>
      </w:r>
      <w:r>
        <w:rPr>
          <w:rFonts w:ascii="Times New Roman" w:hAnsi="Times New Roman"/>
          <w:b/>
          <w:bCs/>
          <w:color w:val="000000"/>
          <w:kern w:val="0"/>
          <w:sz w:val="32"/>
          <w:szCs w:val="32"/>
        </w:rPr>
        <w:t> </w:t>
      </w:r>
    </w:p>
    <w:p>
      <w:pPr>
        <w:widowControl/>
        <w:shd w:val="clear" w:color="auto" w:fill="FFFFFF"/>
        <w:spacing w:before="100" w:beforeAutospacing="1" w:after="100" w:afterAutospacing="1"/>
        <w:jc w:val="center"/>
        <w:rPr>
          <w:rFonts w:ascii="宋体" w:hAnsi="宋体" w:cs="宋体"/>
          <w:color w:val="000000"/>
          <w:kern w:val="0"/>
          <w:sz w:val="24"/>
          <w:szCs w:val="24"/>
        </w:rPr>
      </w:pPr>
      <w:r>
        <w:rPr>
          <w:rFonts w:hint="eastAsia" w:ascii="宋体" w:hAnsi="宋体" w:cs="宋体"/>
          <w:b/>
          <w:bCs/>
          <w:color w:val="000000"/>
          <w:kern w:val="0"/>
          <w:sz w:val="32"/>
          <w:szCs w:val="32"/>
        </w:rPr>
        <w:t>目录</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1、投标函；</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2、承诺书；</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3、授权委托书；</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4、资格审查等技术文件；</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5、询比人认为需要说明的其他内容。</w:t>
      </w:r>
    </w:p>
    <w:p>
      <w:pPr>
        <w:widowControl/>
        <w:shd w:val="clear" w:color="auto" w:fill="FFFFFF"/>
        <w:spacing w:before="100" w:beforeAutospacing="1" w:after="100" w:afterAutospacing="1"/>
        <w:rPr>
          <w:rFonts w:ascii="宋体" w:hAnsi="宋体" w:cs="宋体"/>
          <w:color w:val="000000"/>
          <w:kern w:val="0"/>
          <w:sz w:val="24"/>
          <w:szCs w:val="24"/>
        </w:rPr>
      </w:pPr>
    </w:p>
    <w:p>
      <w:pPr>
        <w:widowControl/>
        <w:shd w:val="clear" w:color="auto" w:fill="FFFFFF"/>
        <w:spacing w:before="100" w:beforeAutospacing="1" w:after="100" w:afterAutospacing="1"/>
        <w:rPr>
          <w:rFonts w:ascii="宋体" w:hAnsi="宋体" w:cs="宋体"/>
          <w:color w:val="000000"/>
          <w:kern w:val="0"/>
          <w:sz w:val="24"/>
          <w:szCs w:val="24"/>
        </w:rPr>
      </w:pPr>
    </w:p>
    <w:p>
      <w:pPr>
        <w:widowControl/>
        <w:shd w:val="clear" w:color="auto" w:fill="FFFFFF"/>
        <w:spacing w:before="100" w:beforeAutospacing="1" w:after="100" w:afterAutospacing="1"/>
        <w:rPr>
          <w:rFonts w:ascii="宋体" w:hAnsi="宋体" w:cs="宋体"/>
          <w:color w:val="000000"/>
          <w:kern w:val="0"/>
          <w:sz w:val="24"/>
          <w:szCs w:val="24"/>
        </w:rPr>
      </w:pPr>
      <w:r>
        <w:rPr>
          <w:rFonts w:ascii="Times New Roman" w:hAnsi="Times New Roman"/>
          <w:color w:val="000000"/>
          <w:kern w:val="0"/>
          <w:sz w:val="24"/>
          <w:szCs w:val="24"/>
        </w:rPr>
        <w:t>  </w:t>
      </w:r>
    </w:p>
    <w:p>
      <w:pPr>
        <w:widowControl/>
        <w:jc w:val="left"/>
        <w:rPr>
          <w:rFonts w:ascii="宋体" w:hAnsi="宋体" w:cs="宋体"/>
          <w:b/>
          <w:bCs/>
          <w:color w:val="000000"/>
          <w:kern w:val="0"/>
          <w:sz w:val="27"/>
          <w:szCs w:val="27"/>
        </w:rPr>
      </w:pPr>
      <w:r>
        <w:rPr>
          <w:rFonts w:ascii="宋体" w:hAnsi="宋体" w:cs="宋体"/>
          <w:b/>
          <w:bCs/>
          <w:color w:val="000000"/>
          <w:kern w:val="0"/>
          <w:sz w:val="27"/>
          <w:szCs w:val="27"/>
        </w:rPr>
        <w:br w:type="page"/>
      </w:r>
    </w:p>
    <w:p>
      <w:pPr>
        <w:widowControl/>
        <w:shd w:val="clear" w:color="auto" w:fill="FFFFFF"/>
        <w:spacing w:before="100" w:beforeAutospacing="1" w:after="100" w:afterAutospacing="1"/>
        <w:ind w:left="748" w:hanging="748"/>
        <w:jc w:val="center"/>
        <w:outlineLvl w:val="1"/>
        <w:rPr>
          <w:rFonts w:ascii="宋体" w:hAnsi="宋体" w:cs="宋体"/>
          <w:b/>
          <w:bCs/>
          <w:color w:val="000000"/>
          <w:kern w:val="0"/>
          <w:sz w:val="27"/>
          <w:szCs w:val="27"/>
        </w:rPr>
      </w:pPr>
      <w:r>
        <w:rPr>
          <w:rFonts w:hint="eastAsia" w:ascii="宋体" w:hAnsi="宋体" w:cs="宋体"/>
          <w:b/>
          <w:bCs/>
          <w:color w:val="000000"/>
          <w:kern w:val="0"/>
          <w:sz w:val="27"/>
          <w:szCs w:val="27"/>
        </w:rPr>
        <w:t>一、投标函</w:t>
      </w:r>
    </w:p>
    <w:p>
      <w:pPr>
        <w:widowControl/>
        <w:shd w:val="clear" w:color="auto" w:fill="FFFFFF"/>
        <w:spacing w:before="100" w:beforeAutospacing="1" w:after="100" w:afterAutospacing="1" w:line="360" w:lineRule="auto"/>
        <w:rPr>
          <w:rFonts w:hint="eastAsia" w:ascii="宋体" w:hAnsi="宋体" w:cs="宋体" w:eastAsiaTheme="minorEastAsia"/>
          <w:color w:val="000000"/>
          <w:kern w:val="0"/>
          <w:sz w:val="24"/>
          <w:szCs w:val="24"/>
          <w:lang w:eastAsia="zh-CN"/>
        </w:rPr>
      </w:pPr>
      <w:r>
        <w:rPr>
          <w:rFonts w:ascii="Times New Roman" w:hAnsi="Times New Roman"/>
          <w:color w:val="000000"/>
          <w:kern w:val="0"/>
          <w:sz w:val="24"/>
          <w:szCs w:val="24"/>
        </w:rPr>
        <w:t> </w:t>
      </w:r>
      <w:r>
        <w:rPr>
          <w:rFonts w:hint="eastAsia" w:ascii="宋体" w:hAnsi="宋体" w:cs="宋体"/>
          <w:color w:val="000000"/>
          <w:kern w:val="0"/>
          <w:sz w:val="24"/>
          <w:szCs w:val="24"/>
        </w:rPr>
        <w:t>致：</w:t>
      </w:r>
      <w:r>
        <w:rPr>
          <w:rFonts w:hint="eastAsia" w:ascii="宋体" w:hAnsi="宋体" w:cs="宋体"/>
          <w:color w:val="000000"/>
          <w:kern w:val="0"/>
          <w:sz w:val="24"/>
          <w:szCs w:val="24"/>
          <w:lang w:eastAsia="zh-CN"/>
        </w:rPr>
        <w:t>蚌埠市中医医院</w:t>
      </w:r>
    </w:p>
    <w:p>
      <w:pPr>
        <w:kinsoku w:val="0"/>
        <w:overflowPunct w:val="0"/>
        <w:spacing w:before="82" w:line="360" w:lineRule="auto"/>
        <w:ind w:left="106" w:right="105" w:firstLine="484"/>
        <w:jc w:val="left"/>
        <w:rPr>
          <w:rFonts w:ascii="宋体" w:hAnsi="Arial" w:eastAsia="宋体" w:cs="Times New Roman"/>
          <w:color w:val="000000"/>
          <w:sz w:val="24"/>
          <w:szCs w:val="20"/>
        </w:rPr>
      </w:pPr>
      <w:r>
        <w:rPr>
          <w:rFonts w:hint="eastAsia" w:ascii="宋体" w:hAnsi="Arial" w:eastAsia="宋体" w:cs="Times New Roman"/>
          <w:color w:val="000000"/>
          <w:sz w:val="24"/>
          <w:szCs w:val="20"/>
        </w:rPr>
        <w:t>1.我方已仔细研究了（项目名称）采购询比文件的全部内容，愿意以下浮</w:t>
      </w:r>
      <w:r>
        <w:rPr>
          <w:rFonts w:hint="eastAsia" w:ascii="宋体" w:hAnsi="Arial" w:eastAsia="宋体" w:cs="Times New Roman"/>
          <w:color w:val="000000"/>
          <w:sz w:val="24"/>
          <w:szCs w:val="20"/>
          <w:u w:val="single"/>
        </w:rPr>
        <w:t>%</w:t>
      </w:r>
      <w:r>
        <w:rPr>
          <w:rFonts w:hint="eastAsia" w:ascii="宋体" w:hAnsi="Arial" w:eastAsia="宋体" w:cs="Times New Roman"/>
          <w:color w:val="000000"/>
          <w:sz w:val="24"/>
          <w:szCs w:val="20"/>
        </w:rPr>
        <w:t>的报价完成本项目年度的服务，服务期：</w:t>
      </w:r>
      <w:r>
        <w:rPr>
          <w:rFonts w:hint="eastAsia" w:ascii="宋体" w:hAnsi="Arial" w:eastAsia="宋体" w:cs="Times New Roman"/>
          <w:color w:val="000000"/>
          <w:sz w:val="24"/>
          <w:szCs w:val="20"/>
          <w:u w:val="single"/>
          <w:lang w:val="en-US" w:eastAsia="zh-CN"/>
        </w:rPr>
        <w:t>2</w:t>
      </w:r>
      <w:r>
        <w:rPr>
          <w:rFonts w:hint="eastAsia" w:ascii="宋体" w:hAnsi="Arial" w:eastAsia="宋体" w:cs="Times New Roman"/>
          <w:color w:val="000000"/>
          <w:sz w:val="24"/>
          <w:szCs w:val="20"/>
        </w:rPr>
        <w:t>年，并按合同约定履行义务。</w:t>
      </w:r>
    </w:p>
    <w:p>
      <w:pPr>
        <w:widowControl/>
        <w:shd w:val="clear" w:color="auto" w:fill="FFFFFF"/>
        <w:spacing w:before="100" w:beforeAutospacing="1" w:after="100" w:afterAutospacing="1" w:line="360" w:lineRule="auto"/>
        <w:rPr>
          <w:rFonts w:ascii="宋体" w:hAnsi="宋体" w:cs="宋体"/>
          <w:color w:val="000000"/>
          <w:kern w:val="0"/>
          <w:sz w:val="24"/>
          <w:szCs w:val="24"/>
          <w:highlight w:val="cyan"/>
        </w:rPr>
      </w:pPr>
      <w:r>
        <w:rPr>
          <w:rFonts w:hint="eastAsia" w:ascii="宋体" w:hAnsi="宋体" w:cs="宋体"/>
          <w:color w:val="000000"/>
          <w:kern w:val="0"/>
          <w:sz w:val="24"/>
          <w:szCs w:val="24"/>
        </w:rPr>
        <w:t xml:space="preserve">     2、我</w:t>
      </w:r>
      <w:r>
        <w:rPr>
          <w:rFonts w:hint="eastAsia" w:ascii="宋体" w:hAnsi="宋体" w:cs="宋体"/>
          <w:color w:val="000000"/>
          <w:kern w:val="0"/>
          <w:sz w:val="24"/>
          <w:szCs w:val="24"/>
          <w:lang w:val="en-US" w:eastAsia="zh-CN"/>
        </w:rPr>
        <w:t>方</w:t>
      </w:r>
      <w:r>
        <w:rPr>
          <w:rFonts w:hint="eastAsia" w:ascii="宋体" w:hAnsi="宋体" w:cs="宋体"/>
          <w:color w:val="000000"/>
          <w:kern w:val="0"/>
          <w:sz w:val="24"/>
          <w:szCs w:val="24"/>
        </w:rPr>
        <w:t>愿意按照采购清单及询比文件规定的各项要求，向采购人提供所需的服务，并接受采购人的付款方式，接受采购人按询比文件中酬金的计算方式支付服务酬金。</w:t>
      </w:r>
    </w:p>
    <w:p>
      <w:pPr>
        <w:widowControl/>
        <w:shd w:val="clear" w:color="auto" w:fill="FFFFFF"/>
        <w:spacing w:before="100" w:beforeAutospacing="1" w:after="100" w:afterAutospacing="1"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3、投标有效期为自投标截止时间起</w:t>
      </w:r>
      <w:r>
        <w:rPr>
          <w:rFonts w:hint="eastAsia" w:ascii="宋体" w:hAnsi="宋体" w:cs="宋体"/>
          <w:color w:val="000000"/>
          <w:kern w:val="0"/>
          <w:sz w:val="24"/>
          <w:szCs w:val="24"/>
          <w:u w:val="single"/>
        </w:rPr>
        <w:t>90</w:t>
      </w:r>
      <w:r>
        <w:rPr>
          <w:rFonts w:hint="eastAsia" w:ascii="宋体" w:hAnsi="宋体" w:cs="宋体"/>
          <w:color w:val="000000"/>
          <w:kern w:val="0"/>
          <w:sz w:val="24"/>
          <w:szCs w:val="24"/>
        </w:rPr>
        <w:t>日历天。</w:t>
      </w:r>
    </w:p>
    <w:p>
      <w:pPr>
        <w:widowControl/>
        <w:shd w:val="clear" w:color="auto" w:fill="FFFFFF"/>
        <w:spacing w:before="100" w:beforeAutospacing="1" w:after="100" w:afterAutospacing="1"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4、我方为本项目提交的询比响应文件一式三份，其中正本一份、副本二份。</w:t>
      </w:r>
    </w:p>
    <w:p>
      <w:pPr>
        <w:widowControl/>
        <w:shd w:val="clear" w:color="auto" w:fill="FFFFFF"/>
        <w:spacing w:before="100" w:beforeAutospacing="1" w:after="100" w:afterAutospacing="1"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5、我方愿意提供采购人可能另外要求的、与投标有关的文件资料，并保证我方已提供和将要提供的文件是真实的、准确的。</w:t>
      </w:r>
    </w:p>
    <w:p>
      <w:pPr>
        <w:widowControl/>
        <w:shd w:val="clear" w:color="auto" w:fill="FFFFFF"/>
        <w:spacing w:before="100" w:beforeAutospacing="1" w:after="100" w:afterAutospacing="1"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我方完全理解你们不一定将合同授予最低报价的询比人。同时理解并接受采购人关于“如果所有投标报价均高于采购人认为的市场正常价格或技术上均满足不了采购人的要求或性价比方面脱离市场正常水平，采购人均有权否决所有投标”的条款。</w:t>
      </w:r>
    </w:p>
    <w:p>
      <w:pPr>
        <w:widowControl/>
        <w:shd w:val="clear" w:color="auto" w:fill="FFFFFF"/>
        <w:spacing w:before="100" w:beforeAutospacing="1" w:after="100" w:afterAutospacing="1"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7、我公司理解并尊重采购人拥有在签订合同前要求进行进一步商务谈判、并要求我公司给予优惠的权利，我公司将积极给予配合。</w:t>
      </w:r>
    </w:p>
    <w:p>
      <w:pPr>
        <w:widowControl/>
        <w:shd w:val="clear" w:color="auto" w:fill="FFFFFF"/>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询比人：</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（盖单位公章）</w:t>
      </w:r>
    </w:p>
    <w:p>
      <w:pPr>
        <w:widowControl/>
        <w:shd w:val="clear" w:color="auto" w:fill="FFFFFF"/>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法定代表人授权委托人：</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（签字）</w:t>
      </w:r>
    </w:p>
    <w:p>
      <w:pPr>
        <w:widowControl/>
        <w:shd w:val="clear" w:color="auto" w:fill="FFFFFF"/>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联系电话：</w:t>
      </w:r>
      <w:r>
        <w:rPr>
          <w:rFonts w:hint="eastAsia" w:ascii="宋体" w:hAnsi="宋体" w:cs="宋体"/>
          <w:color w:val="000000"/>
          <w:kern w:val="0"/>
          <w:sz w:val="24"/>
          <w:szCs w:val="24"/>
          <w:u w:val="single"/>
        </w:rPr>
        <w:t>         </w:t>
      </w:r>
    </w:p>
    <w:p>
      <w:pPr>
        <w:widowControl/>
        <w:shd w:val="clear" w:color="auto" w:fill="FFFFFF"/>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通讯地址：</w:t>
      </w:r>
      <w:r>
        <w:rPr>
          <w:rFonts w:hint="eastAsia" w:ascii="宋体" w:hAnsi="宋体" w:cs="宋体"/>
          <w:color w:val="000000"/>
          <w:kern w:val="0"/>
          <w:sz w:val="24"/>
          <w:szCs w:val="24"/>
          <w:u w:val="single"/>
        </w:rPr>
        <w:t>         </w:t>
      </w:r>
    </w:p>
    <w:p>
      <w:pPr>
        <w:widowControl/>
        <w:shd w:val="clear" w:color="auto" w:fill="FFFFFF"/>
        <w:spacing w:before="100" w:beforeAutospacing="1" w:after="100" w:afterAutospacing="1" w:line="360" w:lineRule="auto"/>
        <w:rPr>
          <w:rFonts w:ascii="宋体" w:hAnsi="宋体" w:cs="宋体"/>
          <w:color w:val="000000"/>
          <w:kern w:val="0"/>
          <w:sz w:val="24"/>
          <w:szCs w:val="24"/>
          <w:u w:val="single"/>
        </w:rPr>
      </w:pPr>
      <w:r>
        <w:rPr>
          <w:rFonts w:hint="eastAsia" w:ascii="宋体" w:hAnsi="宋体" w:cs="宋体"/>
          <w:color w:val="000000"/>
          <w:kern w:val="0"/>
          <w:sz w:val="24"/>
          <w:szCs w:val="24"/>
        </w:rPr>
        <w:t>邮政编码：</w:t>
      </w:r>
      <w:r>
        <w:rPr>
          <w:rFonts w:hint="eastAsia" w:ascii="宋体" w:hAnsi="宋体" w:cs="宋体"/>
          <w:color w:val="000000"/>
          <w:kern w:val="0"/>
          <w:sz w:val="24"/>
          <w:szCs w:val="24"/>
          <w:u w:val="single"/>
        </w:rPr>
        <w:t>         </w:t>
      </w:r>
    </w:p>
    <w:p>
      <w:pPr>
        <w:widowControl/>
        <w:shd w:val="clear" w:color="auto" w:fill="FFFFFF"/>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日期：</w:t>
      </w:r>
      <w:r>
        <w:rPr>
          <w:rFonts w:hint="eastAsia" w:ascii="宋体" w:hAnsi="宋体" w:cs="宋体"/>
          <w:color w:val="000000"/>
          <w:kern w:val="0"/>
          <w:sz w:val="24"/>
          <w:szCs w:val="24"/>
          <w:u w:val="single"/>
        </w:rPr>
        <w:t>         </w:t>
      </w:r>
    </w:p>
    <w:p>
      <w:pPr>
        <w:widowControl/>
        <w:shd w:val="clear" w:color="auto" w:fill="FFFFFF"/>
        <w:spacing w:before="100" w:beforeAutospacing="1" w:after="100" w:afterAutospacing="1" w:line="400" w:lineRule="atLeast"/>
        <w:rPr>
          <w:rFonts w:ascii="宋体" w:hAnsi="宋体" w:cs="宋体"/>
          <w:color w:val="000000"/>
          <w:kern w:val="0"/>
          <w:sz w:val="24"/>
          <w:szCs w:val="24"/>
        </w:rPr>
      </w:pPr>
    </w:p>
    <w:p>
      <w:pPr>
        <w:widowControl/>
        <w:shd w:val="clear" w:color="auto" w:fill="FFFFFF"/>
        <w:spacing w:before="100" w:beforeAutospacing="1" w:after="100" w:afterAutospacing="1" w:line="440" w:lineRule="atLeast"/>
        <w:jc w:val="center"/>
        <w:rPr>
          <w:rFonts w:ascii="宋体" w:hAnsi="宋体" w:cs="宋体"/>
          <w:color w:val="000000"/>
          <w:kern w:val="0"/>
          <w:sz w:val="24"/>
          <w:szCs w:val="24"/>
        </w:rPr>
      </w:pPr>
      <w:r>
        <w:rPr>
          <w:rFonts w:hint="eastAsia" w:ascii="宋体" w:hAnsi="宋体" w:cs="宋体"/>
          <w:b/>
          <w:bCs/>
          <w:color w:val="000000"/>
          <w:kern w:val="0"/>
          <w:sz w:val="36"/>
          <w:szCs w:val="36"/>
        </w:rPr>
        <w:t> </w:t>
      </w:r>
    </w:p>
    <w:p>
      <w:pPr>
        <w:widowControl/>
        <w:jc w:val="left"/>
        <w:rPr>
          <w:rFonts w:ascii="宋体" w:hAnsi="宋体" w:cs="宋体"/>
          <w:b/>
          <w:bCs/>
          <w:color w:val="000000"/>
          <w:kern w:val="0"/>
          <w:sz w:val="36"/>
          <w:szCs w:val="36"/>
        </w:rPr>
      </w:pPr>
      <w:r>
        <w:rPr>
          <w:rFonts w:ascii="宋体" w:hAnsi="宋体" w:cs="宋体"/>
          <w:b/>
          <w:bCs/>
          <w:color w:val="000000"/>
          <w:kern w:val="0"/>
          <w:sz w:val="36"/>
          <w:szCs w:val="36"/>
        </w:rPr>
        <w:br w:type="page"/>
      </w:r>
    </w:p>
    <w:p>
      <w:pPr>
        <w:widowControl/>
        <w:shd w:val="clear" w:color="auto" w:fill="FFFFFF"/>
        <w:spacing w:before="100" w:beforeAutospacing="1" w:after="100" w:afterAutospacing="1" w:line="440" w:lineRule="atLeast"/>
        <w:jc w:val="center"/>
        <w:outlineLvl w:val="1"/>
        <w:rPr>
          <w:rFonts w:ascii="宋体" w:hAnsi="宋体" w:cs="宋体"/>
          <w:color w:val="000000"/>
          <w:kern w:val="0"/>
          <w:sz w:val="24"/>
          <w:szCs w:val="24"/>
        </w:rPr>
      </w:pPr>
      <w:r>
        <w:rPr>
          <w:rFonts w:hint="eastAsia" w:ascii="宋体" w:hAnsi="宋体" w:cs="宋体"/>
          <w:b/>
          <w:bCs/>
          <w:color w:val="000000"/>
          <w:kern w:val="0"/>
          <w:sz w:val="36"/>
          <w:szCs w:val="36"/>
        </w:rPr>
        <w:t>二、承诺书</w:t>
      </w:r>
    </w:p>
    <w:p>
      <w:pPr>
        <w:widowControl/>
        <w:shd w:val="clear" w:color="auto" w:fill="FFFFFF"/>
        <w:spacing w:before="100" w:beforeAutospacing="1" w:after="100" w:afterAutospacing="1" w:line="440" w:lineRule="atLeast"/>
        <w:rPr>
          <w:rFonts w:ascii="宋体" w:hAnsi="宋体" w:cs="宋体"/>
          <w:color w:val="000000"/>
          <w:kern w:val="0"/>
          <w:sz w:val="24"/>
          <w:szCs w:val="24"/>
        </w:rPr>
      </w:pPr>
      <w:r>
        <w:rPr>
          <w:rFonts w:hint="eastAsia" w:ascii="宋体" w:hAnsi="宋体" w:cs="宋体"/>
          <w:color w:val="000000"/>
          <w:kern w:val="0"/>
          <w:sz w:val="24"/>
          <w:szCs w:val="24"/>
          <w:u w:val="single"/>
        </w:rPr>
        <w:t> </w:t>
      </w:r>
      <w:r>
        <w:rPr>
          <w:rFonts w:hint="eastAsia" w:ascii="宋体" w:hAnsi="宋体" w:cs="宋体"/>
          <w:color w:val="000000"/>
          <w:kern w:val="0"/>
          <w:sz w:val="24"/>
          <w:szCs w:val="24"/>
          <w:u w:val="single"/>
          <w:lang w:eastAsia="zh-CN"/>
        </w:rPr>
        <w:t>蚌埠市中医医院</w:t>
      </w:r>
      <w:r>
        <w:rPr>
          <w:rFonts w:hint="eastAsia" w:ascii="宋体" w:hAnsi="宋体" w:cs="宋体"/>
          <w:color w:val="000000"/>
          <w:kern w:val="0"/>
          <w:sz w:val="24"/>
          <w:szCs w:val="24"/>
        </w:rPr>
        <w:t>：</w:t>
      </w:r>
    </w:p>
    <w:p>
      <w:pPr>
        <w:widowControl/>
        <w:shd w:val="clear" w:color="auto" w:fill="FFFFFF"/>
        <w:spacing w:before="100" w:beforeAutospacing="1" w:after="100" w:afterAutospacing="1" w:line="440" w:lineRule="atLeast"/>
        <w:ind w:firstLine="600"/>
        <w:jc w:val="left"/>
        <w:rPr>
          <w:rFonts w:ascii="宋体" w:hAnsi="宋体" w:cs="宋体"/>
          <w:color w:val="000000"/>
          <w:kern w:val="0"/>
          <w:sz w:val="24"/>
          <w:szCs w:val="24"/>
        </w:rPr>
      </w:pPr>
      <w:r>
        <w:rPr>
          <w:rFonts w:hint="eastAsia" w:ascii="宋体" w:hAnsi="宋体" w:cs="宋体"/>
          <w:color w:val="000000"/>
          <w:kern w:val="0"/>
          <w:sz w:val="24"/>
          <w:szCs w:val="24"/>
        </w:rPr>
        <w:t>我公司郑重承诺：</w:t>
      </w:r>
    </w:p>
    <w:p>
      <w:pPr>
        <w:widowControl/>
        <w:shd w:val="clear" w:color="auto" w:fill="FFFFFF"/>
        <w:spacing w:before="100" w:beforeAutospacing="1" w:after="100" w:afterAutospacing="1" w:line="440" w:lineRule="atLeast"/>
        <w:ind w:firstLine="600"/>
        <w:jc w:val="left"/>
        <w:rPr>
          <w:rFonts w:ascii="宋体" w:hAnsi="宋体" w:cs="宋体"/>
          <w:color w:val="000000"/>
          <w:kern w:val="0"/>
          <w:sz w:val="24"/>
          <w:szCs w:val="24"/>
        </w:rPr>
      </w:pPr>
      <w:r>
        <w:rPr>
          <w:rFonts w:hint="eastAsia" w:ascii="宋体" w:hAnsi="宋体" w:cs="宋体"/>
          <w:color w:val="000000"/>
          <w:kern w:val="0"/>
          <w:sz w:val="24"/>
          <w:szCs w:val="24"/>
        </w:rPr>
        <w:t>一、我公司符合《中华人民共和国政府采购法》第二十二条之规定：</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（一）具有独立承担民事责任的能力；</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（二）具有良好的商业信誉和健全的财务会计制度；</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（三）具有履行合同所必需的设备和专业技术能力；</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（四）有依法缴纳税收和社会保障资金的良好记录；</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（五）参加政府采购活动前三年内，在经营活动中没有重大违法记录；</w:t>
      </w:r>
    </w:p>
    <w:p>
      <w:pPr>
        <w:widowControl/>
        <w:shd w:val="clear" w:color="auto" w:fill="FFFFFF"/>
        <w:spacing w:before="100" w:beforeAutospacing="1" w:after="100" w:afterAutospacing="1" w:line="440" w:lineRule="atLeast"/>
        <w:ind w:firstLine="480"/>
        <w:rPr>
          <w:rFonts w:ascii="宋体" w:hAnsi="宋体" w:cs="宋体"/>
          <w:color w:val="000000"/>
          <w:kern w:val="0"/>
          <w:sz w:val="24"/>
          <w:szCs w:val="24"/>
        </w:rPr>
      </w:pPr>
      <w:r>
        <w:rPr>
          <w:rFonts w:hint="eastAsia" w:ascii="宋体" w:hAnsi="宋体" w:cs="宋体"/>
          <w:color w:val="000000"/>
          <w:kern w:val="0"/>
          <w:sz w:val="24"/>
          <w:szCs w:val="24"/>
        </w:rPr>
        <w:t>（六）法律、行政法规规定的其他条件。</w:t>
      </w:r>
    </w:p>
    <w:p>
      <w:pPr>
        <w:widowControl/>
        <w:jc w:val="left"/>
        <w:rPr>
          <w:rFonts w:ascii="宋体" w:hAnsi="宋体" w:cs="宋体"/>
          <w:b/>
          <w:bCs/>
          <w:color w:val="000000"/>
          <w:kern w:val="0"/>
          <w:sz w:val="24"/>
          <w:szCs w:val="24"/>
        </w:rPr>
      </w:pPr>
      <w:r>
        <w:rPr>
          <w:rFonts w:ascii="宋体" w:hAnsi="宋体" w:cs="宋体"/>
          <w:b/>
          <w:bCs/>
          <w:color w:val="000000"/>
          <w:kern w:val="0"/>
          <w:sz w:val="24"/>
          <w:szCs w:val="24"/>
        </w:rPr>
        <w:t>二、承诺响应本项目询比条件，满足采购人需求。</w:t>
      </w:r>
    </w:p>
    <w:p>
      <w:pPr>
        <w:widowControl/>
        <w:shd w:val="clear" w:color="auto" w:fill="FFFFFF"/>
        <w:spacing w:before="100" w:beforeAutospacing="1" w:after="100" w:afterAutospacing="1" w:line="440" w:lineRule="atLeast"/>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440" w:lineRule="atLeast"/>
        <w:jc w:val="right"/>
        <w:rPr>
          <w:rFonts w:ascii="宋体" w:hAnsi="宋体" w:cs="宋体"/>
          <w:color w:val="000000"/>
          <w:kern w:val="0"/>
          <w:sz w:val="24"/>
          <w:szCs w:val="24"/>
        </w:rPr>
      </w:pPr>
      <w:r>
        <w:rPr>
          <w:rFonts w:hint="eastAsia" w:ascii="宋体" w:hAnsi="宋体" w:cs="宋体"/>
          <w:color w:val="000000"/>
          <w:kern w:val="0"/>
          <w:sz w:val="24"/>
          <w:szCs w:val="24"/>
        </w:rPr>
        <w:t>询比人 </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（盖单位公章）</w:t>
      </w:r>
    </w:p>
    <w:p>
      <w:pPr>
        <w:widowControl/>
        <w:shd w:val="clear" w:color="auto" w:fill="FFFFFF"/>
        <w:spacing w:before="100" w:beforeAutospacing="1" w:after="100" w:afterAutospacing="1" w:line="440" w:lineRule="atLeast"/>
        <w:ind w:firstLine="4560" w:firstLineChars="1900"/>
        <w:jc w:val="left"/>
        <w:rPr>
          <w:rFonts w:ascii="宋体" w:hAnsi="宋体" w:cs="宋体"/>
          <w:color w:val="000000"/>
          <w:kern w:val="0"/>
          <w:sz w:val="24"/>
          <w:szCs w:val="24"/>
        </w:rPr>
      </w:pPr>
      <w:r>
        <w:rPr>
          <w:rFonts w:hint="eastAsia" w:ascii="宋体" w:hAnsi="宋体" w:cs="宋体"/>
          <w:color w:val="000000"/>
          <w:kern w:val="0"/>
          <w:sz w:val="24"/>
          <w:szCs w:val="24"/>
        </w:rPr>
        <w:t>年月日</w:t>
      </w:r>
    </w:p>
    <w:p>
      <w:pPr>
        <w:widowControl/>
        <w:shd w:val="clear" w:color="auto" w:fill="FFFFFF"/>
        <w:spacing w:before="100" w:beforeAutospacing="1" w:after="100" w:afterAutospacing="1" w:line="440" w:lineRule="atLeast"/>
        <w:ind w:right="480"/>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440" w:lineRule="atLeast"/>
        <w:ind w:right="480"/>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440" w:lineRule="atLeast"/>
        <w:ind w:right="480" w:firstLine="480"/>
        <w:rPr>
          <w:rFonts w:ascii="宋体" w:hAnsi="宋体" w:cs="宋体"/>
          <w:color w:val="000000"/>
          <w:kern w:val="0"/>
          <w:sz w:val="24"/>
          <w:szCs w:val="24"/>
        </w:rPr>
      </w:pPr>
      <w:r>
        <w:rPr>
          <w:rFonts w:hint="eastAsia" w:ascii="宋体" w:hAnsi="宋体" w:cs="宋体"/>
          <w:color w:val="000000"/>
          <w:kern w:val="0"/>
          <w:sz w:val="24"/>
          <w:szCs w:val="24"/>
        </w:rPr>
        <w:t> </w:t>
      </w:r>
      <w:bookmarkStart w:id="22" w:name="_Toc282517745"/>
      <w:bookmarkEnd w:id="22"/>
      <w:bookmarkStart w:id="23" w:name="_Toc258576443"/>
      <w:bookmarkEnd w:id="23"/>
      <w:bookmarkStart w:id="24" w:name="_Toc246150332"/>
      <w:bookmarkEnd w:id="24"/>
      <w:bookmarkStart w:id="25" w:name="_Hlt509739007"/>
      <w:bookmarkEnd w:id="25"/>
    </w:p>
    <w:p>
      <w:pPr>
        <w:widowControl/>
        <w:jc w:val="left"/>
        <w:rPr>
          <w:rFonts w:ascii="宋体" w:hAnsi="宋体" w:cs="宋体"/>
          <w:color w:val="000000"/>
          <w:kern w:val="0"/>
          <w:sz w:val="24"/>
          <w:szCs w:val="24"/>
        </w:rPr>
      </w:pPr>
      <w:r>
        <w:rPr>
          <w:rFonts w:ascii="宋体" w:hAnsi="宋体" w:cs="宋体"/>
          <w:color w:val="000000"/>
          <w:kern w:val="0"/>
          <w:sz w:val="24"/>
          <w:szCs w:val="24"/>
        </w:rPr>
        <w:br w:type="page"/>
      </w:r>
    </w:p>
    <w:p>
      <w:pPr>
        <w:widowControl/>
        <w:shd w:val="clear" w:color="auto" w:fill="FFFFFF"/>
        <w:spacing w:before="100" w:beforeAutospacing="1" w:after="100" w:afterAutospacing="1" w:line="440" w:lineRule="atLeast"/>
        <w:ind w:right="482" w:firstLine="482"/>
        <w:jc w:val="center"/>
        <w:outlineLvl w:val="1"/>
        <w:rPr>
          <w:rFonts w:ascii="宋体" w:hAnsi="宋体" w:cs="宋体"/>
          <w:b/>
          <w:bCs/>
          <w:color w:val="000000"/>
          <w:kern w:val="0"/>
          <w:sz w:val="27"/>
          <w:szCs w:val="27"/>
        </w:rPr>
      </w:pPr>
      <w:r>
        <w:rPr>
          <w:rFonts w:hint="eastAsia" w:ascii="宋体" w:hAnsi="宋体" w:cs="宋体"/>
          <w:b/>
          <w:bCs/>
          <w:color w:val="000000"/>
          <w:kern w:val="0"/>
          <w:sz w:val="36"/>
          <w:szCs w:val="36"/>
        </w:rPr>
        <w:t>三、授权委托书</w:t>
      </w:r>
    </w:p>
    <w:p>
      <w:pPr>
        <w:widowControl/>
        <w:shd w:val="clear" w:color="auto" w:fill="FFFFFF"/>
        <w:spacing w:before="100" w:beforeAutospacing="1" w:after="100" w:afterAutospacing="1" w:line="600" w:lineRule="atLeast"/>
        <w:rPr>
          <w:rFonts w:ascii="宋体" w:hAnsi="宋体" w:cs="宋体"/>
          <w:color w:val="000000"/>
          <w:kern w:val="0"/>
          <w:sz w:val="24"/>
          <w:szCs w:val="24"/>
        </w:rPr>
      </w:pPr>
      <w:r>
        <w:rPr>
          <w:rFonts w:hint="eastAsia" w:ascii="宋体" w:hAnsi="宋体" w:cs="宋体"/>
          <w:color w:val="000000"/>
          <w:kern w:val="0"/>
          <w:sz w:val="24"/>
          <w:szCs w:val="24"/>
        </w:rPr>
        <w:t>____</w:t>
      </w:r>
      <w:r>
        <w:rPr>
          <w:rFonts w:hint="eastAsia" w:ascii="宋体" w:hAnsi="宋体" w:cs="宋体"/>
          <w:color w:val="000000"/>
          <w:kern w:val="0"/>
          <w:sz w:val="24"/>
          <w:szCs w:val="24"/>
          <w:u w:val="single"/>
          <w:lang w:eastAsia="zh-CN"/>
        </w:rPr>
        <w:t>蚌埠市中医医院</w:t>
      </w:r>
      <w:r>
        <w:rPr>
          <w:rFonts w:hint="eastAsia" w:ascii="宋体" w:hAnsi="宋体" w:cs="宋体"/>
          <w:color w:val="000000"/>
          <w:kern w:val="0"/>
          <w:sz w:val="24"/>
          <w:szCs w:val="24"/>
        </w:rPr>
        <w:t>__：</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 我以______________________（公司名称）法定代表人的身份授权________（姓名）、身份证号___________________，为我单位的全权代表，以我单位的名义签署________________________的询比响应文件及其它文件，参加开标、澄清、商签合同以及处理与之有关的其它事务，我单位均予承认。</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授权委托人签字：</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投标单位（盖单位公章）：              </w:t>
      </w:r>
    </w:p>
    <w:p>
      <w:pPr>
        <w:widowControl/>
        <w:shd w:val="clear" w:color="auto" w:fill="FFFFFF"/>
        <w:spacing w:before="100" w:beforeAutospacing="1" w:after="100" w:afterAutospacing="1" w:line="600" w:lineRule="atLeast"/>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法定代表人（签字或盖章）：            </w:t>
      </w:r>
    </w:p>
    <w:p>
      <w:pPr>
        <w:widowControl/>
        <w:shd w:val="clear" w:color="auto" w:fill="FFFFFF"/>
        <w:spacing w:before="100" w:beforeAutospacing="1" w:after="100" w:afterAutospacing="1" w:line="600" w:lineRule="atLeast"/>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600" w:lineRule="atLeast"/>
        <w:ind w:firstLine="480"/>
        <w:rPr>
          <w:rFonts w:ascii="宋体" w:hAnsi="宋体" w:cs="宋体"/>
          <w:color w:val="000000"/>
          <w:kern w:val="0"/>
          <w:sz w:val="24"/>
          <w:szCs w:val="24"/>
        </w:rPr>
      </w:pPr>
      <w:r>
        <w:rPr>
          <w:rFonts w:hint="eastAsia" w:ascii="宋体" w:hAnsi="宋体" w:cs="宋体"/>
          <w:color w:val="000000"/>
          <w:kern w:val="0"/>
          <w:sz w:val="24"/>
          <w:szCs w:val="24"/>
        </w:rPr>
        <w:t>电话：                     </w:t>
      </w:r>
    </w:p>
    <w:p>
      <w:pPr>
        <w:widowControl/>
        <w:shd w:val="clear" w:color="auto" w:fill="FFFFFF"/>
        <w:spacing w:before="100" w:beforeAutospacing="1" w:after="100" w:afterAutospacing="1" w:line="300" w:lineRule="atLeast"/>
        <w:rPr>
          <w:rFonts w:ascii="宋体" w:hAnsi="宋体" w:cs="宋体"/>
          <w:color w:val="000000"/>
          <w:kern w:val="0"/>
          <w:sz w:val="24"/>
          <w:szCs w:val="24"/>
        </w:rPr>
      </w:pPr>
      <w:r>
        <w:rPr>
          <w:rFonts w:ascii="Times New Roman" w:hAnsi="Times New Roman"/>
          <w:color w:val="000000"/>
          <w:kern w:val="0"/>
          <w:sz w:val="24"/>
          <w:szCs w:val="24"/>
        </w:rPr>
        <w:t>                                 </w:t>
      </w:r>
    </w:p>
    <w:p>
      <w:pPr>
        <w:widowControl/>
        <w:shd w:val="clear" w:color="auto" w:fill="FFFFFF"/>
        <w:spacing w:before="100" w:beforeAutospacing="1" w:after="100" w:afterAutospacing="1" w:line="300" w:lineRule="atLeast"/>
        <w:jc w:val="center"/>
        <w:rPr>
          <w:rFonts w:ascii="宋体" w:hAnsi="宋体" w:cs="宋体"/>
          <w:color w:val="000000"/>
          <w:kern w:val="0"/>
          <w:sz w:val="24"/>
          <w:szCs w:val="24"/>
        </w:rPr>
      </w:pPr>
      <w:r>
        <w:rPr>
          <w:rFonts w:ascii="Times New Roman" w:hAnsi="Times New Roman"/>
          <w:color w:val="000000"/>
          <w:kern w:val="0"/>
          <w:sz w:val="24"/>
          <w:szCs w:val="24"/>
        </w:rPr>
        <w:t>                           </w:t>
      </w:r>
      <w:r>
        <w:rPr>
          <w:rFonts w:hint="eastAsia" w:ascii="Times New Roman" w:hAnsi="Times New Roman"/>
          <w:color w:val="000000"/>
          <w:kern w:val="0"/>
          <w:sz w:val="24"/>
          <w:szCs w:val="24"/>
        </w:rPr>
        <w:t>年</w:t>
      </w:r>
      <w:r>
        <w:rPr>
          <w:rFonts w:ascii="Times New Roman" w:hAnsi="Times New Roman"/>
          <w:color w:val="000000"/>
          <w:kern w:val="0"/>
          <w:sz w:val="24"/>
          <w:szCs w:val="24"/>
        </w:rPr>
        <w:t>     </w:t>
      </w:r>
      <w:r>
        <w:rPr>
          <w:rFonts w:hint="eastAsia" w:ascii="Times New Roman" w:hAnsi="Times New Roman"/>
          <w:color w:val="000000"/>
          <w:kern w:val="0"/>
          <w:sz w:val="24"/>
          <w:szCs w:val="24"/>
        </w:rPr>
        <w:t>月</w:t>
      </w:r>
      <w:r>
        <w:rPr>
          <w:rFonts w:ascii="Times New Roman" w:hAnsi="Times New Roman"/>
          <w:color w:val="000000"/>
          <w:kern w:val="0"/>
          <w:sz w:val="24"/>
          <w:szCs w:val="24"/>
        </w:rPr>
        <w:t>     </w:t>
      </w:r>
      <w:r>
        <w:rPr>
          <w:rFonts w:hint="eastAsia" w:ascii="Times New Roman" w:hAnsi="Times New Roman"/>
          <w:color w:val="000000"/>
          <w:kern w:val="0"/>
          <w:sz w:val="24"/>
          <w:szCs w:val="24"/>
        </w:rPr>
        <w:t>日</w:t>
      </w:r>
    </w:p>
    <w:p>
      <w:pPr>
        <w:widowControl/>
        <w:shd w:val="clear" w:color="auto" w:fill="FFFFFF"/>
        <w:spacing w:before="100" w:beforeAutospacing="1" w:after="100" w:afterAutospacing="1" w:line="360" w:lineRule="atLeast"/>
        <w:ind w:firstLine="480"/>
        <w:rPr>
          <w:rFonts w:ascii="宋体" w:hAnsi="宋体" w:cs="宋体"/>
          <w:color w:val="000000"/>
          <w:kern w:val="0"/>
          <w:sz w:val="24"/>
          <w:szCs w:val="24"/>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360" w:lineRule="atLeast"/>
        <w:ind w:firstLine="480"/>
        <w:rPr>
          <w:rFonts w:ascii="宋体" w:hAnsi="宋体" w:cs="宋体"/>
          <w:color w:val="000000"/>
          <w:kern w:val="0"/>
          <w:sz w:val="24"/>
          <w:szCs w:val="24"/>
        </w:rPr>
      </w:pPr>
      <w:r>
        <w:rPr>
          <w:rFonts w:hint="eastAsia" w:ascii="宋体" w:hAnsi="宋体" w:cs="宋体"/>
          <w:color w:val="000000"/>
          <w:kern w:val="0"/>
          <w:sz w:val="24"/>
          <w:szCs w:val="24"/>
        </w:rPr>
        <w:t>附委托代理人身份证复印件</w:t>
      </w:r>
    </w:p>
    <w:p>
      <w:pPr>
        <w:widowControl/>
        <w:shd w:val="clear" w:color="auto" w:fill="FFFFFF"/>
        <w:spacing w:before="100" w:beforeAutospacing="1" w:after="100" w:afterAutospacing="1" w:line="360" w:lineRule="atLeast"/>
        <w:ind w:firstLine="482"/>
        <w:outlineLvl w:val="1"/>
        <w:rPr>
          <w:rFonts w:ascii="宋体" w:hAnsi="宋体" w:cs="宋体"/>
          <w:b/>
          <w:bCs/>
          <w:color w:val="000000"/>
          <w:kern w:val="0"/>
          <w:sz w:val="36"/>
          <w:szCs w:val="36"/>
        </w:rPr>
      </w:pPr>
      <w:bookmarkStart w:id="26" w:name="_Hlt519068455"/>
      <w:bookmarkEnd w:id="26"/>
      <w:bookmarkStart w:id="27" w:name="_Hlt533408944"/>
      <w:bookmarkEnd w:id="27"/>
      <w:bookmarkStart w:id="28" w:name="_Hlt514495724"/>
      <w:bookmarkEnd w:id="28"/>
      <w:bookmarkStart w:id="29" w:name="_Toc172171560"/>
      <w:bookmarkEnd w:id="29"/>
      <w:bookmarkStart w:id="30" w:name="_Toc516969105"/>
      <w:bookmarkEnd w:id="30"/>
      <w:bookmarkStart w:id="31" w:name="_Hlt526418352"/>
      <w:bookmarkEnd w:id="31"/>
      <w:bookmarkStart w:id="32" w:name="_Hlt509649506"/>
      <w:bookmarkEnd w:id="32"/>
      <w:r>
        <w:rPr>
          <w:rFonts w:hint="eastAsia" w:ascii="宋体" w:hAnsi="宋体" w:cs="宋体"/>
          <w:b/>
          <w:bCs/>
          <w:color w:val="000000"/>
          <w:kern w:val="0"/>
          <w:sz w:val="36"/>
          <w:szCs w:val="36"/>
        </w:rPr>
        <w:t>四、资格审查等技术文件</w:t>
      </w:r>
    </w:p>
    <w:p>
      <w:pPr>
        <w:widowControl/>
        <w:shd w:val="clear" w:color="auto" w:fill="FFFFFF"/>
        <w:spacing w:before="100" w:beforeAutospacing="1" w:after="100" w:afterAutospacing="1" w:line="460" w:lineRule="atLeast"/>
        <w:ind w:firstLine="480"/>
        <w:rPr>
          <w:rFonts w:ascii="宋体" w:hAnsi="宋体" w:cs="宋体"/>
          <w:color w:val="000000"/>
          <w:kern w:val="0"/>
          <w:sz w:val="27"/>
          <w:szCs w:val="27"/>
        </w:rPr>
      </w:pPr>
      <w:r>
        <w:rPr>
          <w:rFonts w:hint="eastAsia" w:ascii="宋体" w:hAnsi="宋体" w:cs="宋体"/>
          <w:color w:val="000000"/>
          <w:kern w:val="0"/>
          <w:sz w:val="24"/>
          <w:szCs w:val="24"/>
        </w:rPr>
        <w:t>（1）营业执照（副本）；</w:t>
      </w:r>
    </w:p>
    <w:p>
      <w:pPr>
        <w:widowControl/>
        <w:shd w:val="clear" w:color="auto" w:fill="FFFFFF"/>
        <w:spacing w:before="100" w:beforeAutospacing="1" w:after="100" w:afterAutospacing="1" w:line="460" w:lineRule="atLeast"/>
        <w:ind w:firstLine="480"/>
        <w:rPr>
          <w:rFonts w:ascii="宋体" w:hAnsi="宋体" w:cs="宋体"/>
          <w:color w:val="000000"/>
          <w:kern w:val="0"/>
          <w:sz w:val="27"/>
          <w:szCs w:val="27"/>
        </w:rPr>
      </w:pPr>
      <w:r>
        <w:rPr>
          <w:rFonts w:hint="eastAsia" w:ascii="宋体" w:hAnsi="宋体" w:cs="宋体"/>
          <w:color w:val="000000"/>
          <w:kern w:val="0"/>
          <w:sz w:val="24"/>
          <w:szCs w:val="24"/>
        </w:rPr>
        <w:t>（2）投标供应商认为有必要提交的其他证明材料。</w:t>
      </w:r>
    </w:p>
    <w:p>
      <w:pPr>
        <w:widowControl/>
        <w:shd w:val="clear" w:color="auto" w:fill="FFFFFF"/>
        <w:spacing w:before="100" w:beforeAutospacing="1" w:after="100" w:afterAutospacing="1" w:line="460" w:lineRule="atLeast"/>
        <w:ind w:firstLine="480"/>
        <w:rPr>
          <w:rFonts w:ascii="宋体" w:hAnsi="宋体" w:cs="宋体"/>
          <w:color w:val="000000"/>
          <w:kern w:val="0"/>
          <w:sz w:val="27"/>
          <w:szCs w:val="27"/>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460" w:lineRule="atLeast"/>
        <w:ind w:firstLine="480"/>
        <w:rPr>
          <w:rFonts w:ascii="宋体" w:hAnsi="宋体" w:cs="宋体"/>
          <w:color w:val="000000"/>
          <w:kern w:val="0"/>
          <w:sz w:val="27"/>
          <w:szCs w:val="27"/>
        </w:rPr>
      </w:pPr>
      <w:r>
        <w:rPr>
          <w:rFonts w:hint="eastAsia" w:ascii="宋体" w:hAnsi="宋体" w:cs="宋体"/>
          <w:color w:val="000000"/>
          <w:kern w:val="0"/>
          <w:sz w:val="24"/>
          <w:szCs w:val="24"/>
        </w:rPr>
        <w:t>注：询比人应确保上述文件的真实性、有效性及合法性，否则，由此引起的任何责任都由询比人自行承担。采购人保留要求核对原件的权利。</w:t>
      </w:r>
    </w:p>
    <w:p>
      <w:pPr>
        <w:widowControl/>
        <w:shd w:val="clear" w:color="auto" w:fill="FFFFFF"/>
        <w:spacing w:before="100" w:beforeAutospacing="1" w:after="100" w:afterAutospacing="1" w:line="460" w:lineRule="atLeast"/>
        <w:rPr>
          <w:rFonts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color w:val="000000"/>
          <w:kern w:val="0"/>
          <w:sz w:val="28"/>
          <w:szCs w:val="28"/>
        </w:rPr>
        <w:t> </w:t>
      </w:r>
    </w:p>
    <w:p>
      <w:pPr>
        <w:widowControl/>
        <w:jc w:val="left"/>
        <w:rPr>
          <w:rFonts w:ascii="宋体" w:hAnsi="宋体" w:cs="宋体"/>
          <w:b/>
          <w:bCs/>
          <w:color w:val="000000"/>
          <w:kern w:val="0"/>
          <w:sz w:val="36"/>
          <w:szCs w:val="36"/>
        </w:rPr>
      </w:pPr>
      <w:r>
        <w:rPr>
          <w:rFonts w:ascii="宋体" w:hAnsi="宋体" w:cs="宋体"/>
          <w:b/>
          <w:bCs/>
          <w:color w:val="000000"/>
          <w:kern w:val="0"/>
          <w:sz w:val="36"/>
          <w:szCs w:val="36"/>
        </w:rPr>
        <w:br w:type="page"/>
      </w:r>
    </w:p>
    <w:p>
      <w:pPr>
        <w:widowControl/>
        <w:shd w:val="clear" w:color="auto" w:fill="FFFFFF"/>
        <w:spacing w:before="100" w:beforeAutospacing="1" w:after="100" w:afterAutospacing="1" w:line="300" w:lineRule="atLeast"/>
        <w:outlineLvl w:val="1"/>
        <w:rPr>
          <w:rFonts w:ascii="宋体" w:hAnsi="宋体" w:cs="宋体"/>
          <w:color w:val="000000"/>
          <w:kern w:val="0"/>
          <w:sz w:val="24"/>
          <w:szCs w:val="24"/>
        </w:rPr>
      </w:pPr>
      <w:r>
        <w:rPr>
          <w:rFonts w:hint="eastAsia" w:ascii="宋体" w:hAnsi="宋体" w:cs="宋体"/>
          <w:b/>
          <w:bCs/>
          <w:color w:val="000000"/>
          <w:kern w:val="0"/>
          <w:sz w:val="36"/>
          <w:szCs w:val="36"/>
        </w:rPr>
        <w:t>五、询比人认为需要说明的其他内容</w:t>
      </w:r>
    </w:p>
    <w:p/>
    <w:sectPr>
      <w:pgSz w:w="11906" w:h="16838"/>
      <w:pgMar w:top="21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CF52D"/>
    <w:multiLevelType w:val="singleLevel"/>
    <w:tmpl w:val="902CF52D"/>
    <w:lvl w:ilvl="0" w:tentative="0">
      <w:start w:val="2"/>
      <w:numFmt w:val="chineseCounting"/>
      <w:suff w:val="nothing"/>
      <w:lvlText w:val="%1、"/>
      <w:lvlJc w:val="left"/>
      <w:rPr>
        <w:rFonts w:hint="eastAsia"/>
      </w:rPr>
    </w:lvl>
  </w:abstractNum>
  <w:abstractNum w:abstractNumId="1">
    <w:nsid w:val="F36330E1"/>
    <w:multiLevelType w:val="singleLevel"/>
    <w:tmpl w:val="F36330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NTNmNDdlZDY2MTNjMGY3MzBlNWNiNGRjNWIyMmYifQ=="/>
  </w:docVars>
  <w:rsids>
    <w:rsidRoot w:val="00F37DF5"/>
    <w:rsid w:val="00006DE1"/>
    <w:rsid w:val="000248B9"/>
    <w:rsid w:val="0002792C"/>
    <w:rsid w:val="000327B2"/>
    <w:rsid w:val="0004733C"/>
    <w:rsid w:val="00062A1B"/>
    <w:rsid w:val="000A535E"/>
    <w:rsid w:val="0010441B"/>
    <w:rsid w:val="001253FC"/>
    <w:rsid w:val="00135376"/>
    <w:rsid w:val="001820CB"/>
    <w:rsid w:val="00184CB8"/>
    <w:rsid w:val="00197DB6"/>
    <w:rsid w:val="001F36C7"/>
    <w:rsid w:val="0021151B"/>
    <w:rsid w:val="00215910"/>
    <w:rsid w:val="00220E1C"/>
    <w:rsid w:val="00230390"/>
    <w:rsid w:val="002552BB"/>
    <w:rsid w:val="00261660"/>
    <w:rsid w:val="00261BC9"/>
    <w:rsid w:val="00276620"/>
    <w:rsid w:val="00283B6E"/>
    <w:rsid w:val="002B2615"/>
    <w:rsid w:val="002C4DF7"/>
    <w:rsid w:val="00334C7F"/>
    <w:rsid w:val="003A5439"/>
    <w:rsid w:val="003B5383"/>
    <w:rsid w:val="003C26EA"/>
    <w:rsid w:val="003E1A36"/>
    <w:rsid w:val="004225E1"/>
    <w:rsid w:val="00462144"/>
    <w:rsid w:val="00480D8D"/>
    <w:rsid w:val="00497AFE"/>
    <w:rsid w:val="004A59B2"/>
    <w:rsid w:val="004D4D9F"/>
    <w:rsid w:val="00516C12"/>
    <w:rsid w:val="0055510C"/>
    <w:rsid w:val="00572BB3"/>
    <w:rsid w:val="00573E9D"/>
    <w:rsid w:val="005D504D"/>
    <w:rsid w:val="005E1DA4"/>
    <w:rsid w:val="005E7203"/>
    <w:rsid w:val="005F037B"/>
    <w:rsid w:val="00650BF8"/>
    <w:rsid w:val="006A713B"/>
    <w:rsid w:val="006B7D54"/>
    <w:rsid w:val="006F56B1"/>
    <w:rsid w:val="007045F2"/>
    <w:rsid w:val="00724BCD"/>
    <w:rsid w:val="007562B6"/>
    <w:rsid w:val="00761BAB"/>
    <w:rsid w:val="007951CA"/>
    <w:rsid w:val="007B0AC0"/>
    <w:rsid w:val="007E2EF7"/>
    <w:rsid w:val="007E513B"/>
    <w:rsid w:val="00810E09"/>
    <w:rsid w:val="008603F7"/>
    <w:rsid w:val="00883445"/>
    <w:rsid w:val="008E300C"/>
    <w:rsid w:val="008E436C"/>
    <w:rsid w:val="008F0D1E"/>
    <w:rsid w:val="00900E3A"/>
    <w:rsid w:val="00981F18"/>
    <w:rsid w:val="009A0F01"/>
    <w:rsid w:val="009A1BAE"/>
    <w:rsid w:val="009C2273"/>
    <w:rsid w:val="009F13F1"/>
    <w:rsid w:val="00A029D0"/>
    <w:rsid w:val="00A121B2"/>
    <w:rsid w:val="00A924BE"/>
    <w:rsid w:val="00A92FCD"/>
    <w:rsid w:val="00AA6FC2"/>
    <w:rsid w:val="00AA77CA"/>
    <w:rsid w:val="00AC2CAB"/>
    <w:rsid w:val="00B072FC"/>
    <w:rsid w:val="00B23096"/>
    <w:rsid w:val="00B74158"/>
    <w:rsid w:val="00B77C13"/>
    <w:rsid w:val="00BB5BCE"/>
    <w:rsid w:val="00BC6D87"/>
    <w:rsid w:val="00BD72A3"/>
    <w:rsid w:val="00BE0EFF"/>
    <w:rsid w:val="00BE6C98"/>
    <w:rsid w:val="00C1113D"/>
    <w:rsid w:val="00C5277F"/>
    <w:rsid w:val="00C83FAA"/>
    <w:rsid w:val="00C94636"/>
    <w:rsid w:val="00C979EF"/>
    <w:rsid w:val="00CF043F"/>
    <w:rsid w:val="00CF3A28"/>
    <w:rsid w:val="00D341F8"/>
    <w:rsid w:val="00D71A50"/>
    <w:rsid w:val="00DA0159"/>
    <w:rsid w:val="00DB6EB8"/>
    <w:rsid w:val="00E52FC1"/>
    <w:rsid w:val="00E55E04"/>
    <w:rsid w:val="00E66AFA"/>
    <w:rsid w:val="00F1191B"/>
    <w:rsid w:val="00F22CA8"/>
    <w:rsid w:val="00F25086"/>
    <w:rsid w:val="00F37DF5"/>
    <w:rsid w:val="00F97CE9"/>
    <w:rsid w:val="00FB05DF"/>
    <w:rsid w:val="00FD4573"/>
    <w:rsid w:val="00FD721D"/>
    <w:rsid w:val="01BE7323"/>
    <w:rsid w:val="02145195"/>
    <w:rsid w:val="02AB3D4B"/>
    <w:rsid w:val="02FE3E7B"/>
    <w:rsid w:val="03174F3D"/>
    <w:rsid w:val="03391357"/>
    <w:rsid w:val="04F05A45"/>
    <w:rsid w:val="051C2CDE"/>
    <w:rsid w:val="060D2627"/>
    <w:rsid w:val="067B1C86"/>
    <w:rsid w:val="06F757B1"/>
    <w:rsid w:val="07632E46"/>
    <w:rsid w:val="08251EAA"/>
    <w:rsid w:val="088766C0"/>
    <w:rsid w:val="08B46BC8"/>
    <w:rsid w:val="0ADB2CF4"/>
    <w:rsid w:val="0CD93263"/>
    <w:rsid w:val="0CE340E1"/>
    <w:rsid w:val="0DB31D06"/>
    <w:rsid w:val="0F5372FC"/>
    <w:rsid w:val="0FA97864"/>
    <w:rsid w:val="102B0279"/>
    <w:rsid w:val="10C5247C"/>
    <w:rsid w:val="10FC5772"/>
    <w:rsid w:val="11B22DD3"/>
    <w:rsid w:val="11F33019"/>
    <w:rsid w:val="120B3EBE"/>
    <w:rsid w:val="12673340"/>
    <w:rsid w:val="12986CF6"/>
    <w:rsid w:val="130D010A"/>
    <w:rsid w:val="133E02C4"/>
    <w:rsid w:val="133F1779"/>
    <w:rsid w:val="13620456"/>
    <w:rsid w:val="13D36C5E"/>
    <w:rsid w:val="1537321C"/>
    <w:rsid w:val="17AE3C6A"/>
    <w:rsid w:val="18316649"/>
    <w:rsid w:val="18814EDA"/>
    <w:rsid w:val="192817FA"/>
    <w:rsid w:val="1954439D"/>
    <w:rsid w:val="1AAB4490"/>
    <w:rsid w:val="1AB33345"/>
    <w:rsid w:val="1F170346"/>
    <w:rsid w:val="21597B75"/>
    <w:rsid w:val="229677D4"/>
    <w:rsid w:val="23C71C0F"/>
    <w:rsid w:val="244B45EE"/>
    <w:rsid w:val="24661428"/>
    <w:rsid w:val="257A162F"/>
    <w:rsid w:val="25A246E2"/>
    <w:rsid w:val="25BF7042"/>
    <w:rsid w:val="28B25272"/>
    <w:rsid w:val="28EC16F7"/>
    <w:rsid w:val="29883BEF"/>
    <w:rsid w:val="2B944ACD"/>
    <w:rsid w:val="2CAD5E46"/>
    <w:rsid w:val="2CD81986"/>
    <w:rsid w:val="2D850B71"/>
    <w:rsid w:val="2E6F4729"/>
    <w:rsid w:val="2E9F2B84"/>
    <w:rsid w:val="2FA06136"/>
    <w:rsid w:val="30D065A7"/>
    <w:rsid w:val="317B29B7"/>
    <w:rsid w:val="32B048E2"/>
    <w:rsid w:val="33AB6E58"/>
    <w:rsid w:val="33EC7B9C"/>
    <w:rsid w:val="36922857"/>
    <w:rsid w:val="36B81CBE"/>
    <w:rsid w:val="386121DB"/>
    <w:rsid w:val="38F65019"/>
    <w:rsid w:val="3979621C"/>
    <w:rsid w:val="39930ABA"/>
    <w:rsid w:val="3B762441"/>
    <w:rsid w:val="3FCE45FA"/>
    <w:rsid w:val="40B557B9"/>
    <w:rsid w:val="41032081"/>
    <w:rsid w:val="41427F1C"/>
    <w:rsid w:val="416F3BBA"/>
    <w:rsid w:val="419B49AF"/>
    <w:rsid w:val="425F3C2F"/>
    <w:rsid w:val="42664FBD"/>
    <w:rsid w:val="426B6130"/>
    <w:rsid w:val="42FA62E1"/>
    <w:rsid w:val="44FD71FD"/>
    <w:rsid w:val="45EB69ED"/>
    <w:rsid w:val="46A2058E"/>
    <w:rsid w:val="47705F96"/>
    <w:rsid w:val="47D46525"/>
    <w:rsid w:val="49634005"/>
    <w:rsid w:val="499A62AC"/>
    <w:rsid w:val="49B44860"/>
    <w:rsid w:val="4B62209A"/>
    <w:rsid w:val="4BDF36EB"/>
    <w:rsid w:val="4D094EC3"/>
    <w:rsid w:val="4DCB2178"/>
    <w:rsid w:val="4DD059E1"/>
    <w:rsid w:val="4EA34EA3"/>
    <w:rsid w:val="4F0A5FD9"/>
    <w:rsid w:val="50B74C36"/>
    <w:rsid w:val="50DE102E"/>
    <w:rsid w:val="514E10F6"/>
    <w:rsid w:val="527E1EAF"/>
    <w:rsid w:val="53964FD7"/>
    <w:rsid w:val="53DD0E57"/>
    <w:rsid w:val="543071D9"/>
    <w:rsid w:val="546724CF"/>
    <w:rsid w:val="558F6181"/>
    <w:rsid w:val="55CC1183"/>
    <w:rsid w:val="55DA564E"/>
    <w:rsid w:val="55DF4A13"/>
    <w:rsid w:val="57E7388C"/>
    <w:rsid w:val="57F95B34"/>
    <w:rsid w:val="5A53777D"/>
    <w:rsid w:val="5B841BB9"/>
    <w:rsid w:val="5B975D90"/>
    <w:rsid w:val="5C5679F9"/>
    <w:rsid w:val="5CA02A22"/>
    <w:rsid w:val="5E8C7702"/>
    <w:rsid w:val="600F4147"/>
    <w:rsid w:val="60200102"/>
    <w:rsid w:val="60341DFF"/>
    <w:rsid w:val="60351BD9"/>
    <w:rsid w:val="60F63558"/>
    <w:rsid w:val="629372B1"/>
    <w:rsid w:val="6299419B"/>
    <w:rsid w:val="62DE6052"/>
    <w:rsid w:val="630006BE"/>
    <w:rsid w:val="635F3637"/>
    <w:rsid w:val="63F26259"/>
    <w:rsid w:val="641E2BAA"/>
    <w:rsid w:val="64FD3771"/>
    <w:rsid w:val="67215BB3"/>
    <w:rsid w:val="68B57855"/>
    <w:rsid w:val="68EA39A3"/>
    <w:rsid w:val="69280E4A"/>
    <w:rsid w:val="696F3EA8"/>
    <w:rsid w:val="6B080110"/>
    <w:rsid w:val="6BD821D8"/>
    <w:rsid w:val="6C0A4A08"/>
    <w:rsid w:val="6CEE73B5"/>
    <w:rsid w:val="6D4713C4"/>
    <w:rsid w:val="6DAC1227"/>
    <w:rsid w:val="6ED50C51"/>
    <w:rsid w:val="6F1451A0"/>
    <w:rsid w:val="6F675D4D"/>
    <w:rsid w:val="703F45D4"/>
    <w:rsid w:val="709814B5"/>
    <w:rsid w:val="70A703CB"/>
    <w:rsid w:val="72077373"/>
    <w:rsid w:val="722A12B4"/>
    <w:rsid w:val="73BF77DA"/>
    <w:rsid w:val="73E97A4A"/>
    <w:rsid w:val="744E128A"/>
    <w:rsid w:val="74F00593"/>
    <w:rsid w:val="76393874"/>
    <w:rsid w:val="774249AA"/>
    <w:rsid w:val="77562203"/>
    <w:rsid w:val="77D777E8"/>
    <w:rsid w:val="77F2077D"/>
    <w:rsid w:val="785726D7"/>
    <w:rsid w:val="78CD4747"/>
    <w:rsid w:val="792B7DEB"/>
    <w:rsid w:val="79AB03A4"/>
    <w:rsid w:val="7B4676AD"/>
    <w:rsid w:val="7BB35E76"/>
    <w:rsid w:val="7E9957F7"/>
    <w:rsid w:val="7EA87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D69E-7DE0-4C50-B50B-514A189978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5750</Words>
  <Characters>6022</Characters>
  <Lines>51</Lines>
  <Paragraphs>14</Paragraphs>
  <TotalTime>3</TotalTime>
  <ScaleCrop>false</ScaleCrop>
  <LinksUpToDate>false</LinksUpToDate>
  <CharactersWithSpaces>6421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2020-06-04T08:43:00Z</dcterms:created>
  <dc:creator>NTKO</dc:creator>
  <cp:lastModifiedBy>Administrator</cp:lastModifiedBy>
  <cp:lastPrinted>2022-11-11T02:34:00Z</cp:lastPrinted>
  <dcterms:modified xsi:type="dcterms:W3CDTF">2023-06-14T01:03:20Z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3D30077F24E444DBBE23A426BF10AC47_13</vt:lpwstr>
  </property>
</Properties>
</file>