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rPr>
          <w:rFonts w:ascii="宋体" w:hAnsi="宋体" w:eastAsia="宋体"/>
          <w:color w:val="0000FF"/>
          <w:sz w:val="44"/>
          <w:szCs w:val="44"/>
        </w:rPr>
      </w:pPr>
      <w:bookmarkStart w:id="0" w:name="_Toc1407340"/>
    </w:p>
    <w:p>
      <w:pPr>
        <w:pStyle w:val="4"/>
        <w:keepNext w:val="0"/>
        <w:keepLines w:val="0"/>
        <w:spacing w:before="0"/>
        <w:jc w:val="center"/>
        <w:rPr>
          <w:rFonts w:ascii="宋体" w:hAnsi="宋体" w:eastAsia="宋体"/>
          <w:sz w:val="52"/>
          <w:szCs w:val="52"/>
        </w:rPr>
      </w:pPr>
      <w:bookmarkStart w:id="1" w:name="_Toc2580367"/>
      <w:bookmarkStart w:id="2" w:name="_Toc29803282"/>
      <w:bookmarkStart w:id="3" w:name="_Toc2580726"/>
      <w:r>
        <w:rPr>
          <w:rFonts w:hint="eastAsia" w:ascii="宋体" w:hAnsi="宋体" w:eastAsia="宋体"/>
          <w:sz w:val="52"/>
          <w:szCs w:val="52"/>
        </w:rPr>
        <w:t>电气设备预防性</w:t>
      </w:r>
    </w:p>
    <w:p>
      <w:pPr>
        <w:pStyle w:val="4"/>
        <w:keepNext w:val="0"/>
        <w:keepLines w:val="0"/>
        <w:spacing w:before="0"/>
        <w:jc w:val="center"/>
        <w:rPr>
          <w:rFonts w:ascii="宋体" w:hAnsi="宋体" w:eastAsia="宋体"/>
          <w:sz w:val="52"/>
          <w:szCs w:val="52"/>
        </w:rPr>
      </w:pPr>
      <w:r>
        <w:rPr>
          <w:rFonts w:hint="eastAsia" w:ascii="宋体" w:hAnsi="宋体" w:eastAsia="宋体"/>
          <w:sz w:val="52"/>
          <w:szCs w:val="52"/>
        </w:rPr>
        <w:t>试验检测采购项目招标文件</w:t>
      </w:r>
      <w:bookmarkEnd w:id="1"/>
      <w:bookmarkEnd w:id="2"/>
      <w:bookmarkEnd w:id="3"/>
    </w:p>
    <w:p/>
    <w:p/>
    <w:p/>
    <w:p/>
    <w:p/>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rFonts w:ascii="宋体" w:hAnsi="宋体"/>
          <w:b/>
          <w:bCs/>
          <w:kern w:val="0"/>
          <w:sz w:val="30"/>
          <w:szCs w:val="30"/>
        </w:rPr>
      </w:pPr>
    </w:p>
    <w:p>
      <w:pPr>
        <w:jc w:val="center"/>
        <w:rPr>
          <w:b/>
          <w:bCs/>
          <w:sz w:val="30"/>
          <w:lang w:bidi="he-IL"/>
        </w:rPr>
      </w:pPr>
      <w:r>
        <w:rPr>
          <w:rFonts w:hint="eastAsia"/>
          <w:b/>
          <w:bCs/>
          <w:sz w:val="30"/>
          <w:lang w:bidi="he-IL"/>
        </w:rPr>
        <w:t>202</w:t>
      </w:r>
      <w:r>
        <w:rPr>
          <w:rFonts w:hint="eastAsia"/>
          <w:b/>
          <w:bCs/>
          <w:sz w:val="30"/>
          <w:lang w:val="en-US" w:eastAsia="zh-CN" w:bidi="he-IL"/>
        </w:rPr>
        <w:t>2</w:t>
      </w:r>
      <w:r>
        <w:rPr>
          <w:b/>
          <w:bCs/>
          <w:sz w:val="30"/>
          <w:lang w:bidi="he-IL"/>
        </w:rPr>
        <w:t>年</w:t>
      </w:r>
      <w:r>
        <w:rPr>
          <w:rFonts w:hint="eastAsia"/>
          <w:b/>
          <w:bCs/>
          <w:sz w:val="30"/>
          <w:lang w:val="en-US" w:eastAsia="zh-CN" w:bidi="he-IL"/>
        </w:rPr>
        <w:t>8</w:t>
      </w:r>
      <w:r>
        <w:rPr>
          <w:b/>
          <w:bCs/>
          <w:sz w:val="30"/>
          <w:lang w:bidi="he-IL"/>
        </w:rPr>
        <w:t>月</w:t>
      </w:r>
      <w:r>
        <w:rPr>
          <w:rFonts w:hint="eastAsia"/>
          <w:b/>
          <w:bCs/>
          <w:sz w:val="30"/>
          <w:lang w:val="en-US" w:eastAsia="zh-CN" w:bidi="he-IL"/>
        </w:rPr>
        <w:t>2</w:t>
      </w:r>
      <w:bookmarkStart w:id="17" w:name="_GoBack"/>
      <w:bookmarkEnd w:id="17"/>
      <w:r>
        <w:rPr>
          <w:rFonts w:hint="eastAsia"/>
          <w:b/>
          <w:bCs/>
          <w:sz w:val="30"/>
          <w:lang w:bidi="he-IL"/>
        </w:rPr>
        <w:t>日</w:t>
      </w:r>
    </w:p>
    <w:p>
      <w:pPr>
        <w:jc w:val="center"/>
        <w:rPr>
          <w:b/>
          <w:bCs/>
          <w:sz w:val="30"/>
          <w:lang w:bidi="he-IL"/>
        </w:rPr>
      </w:pPr>
    </w:p>
    <w:p>
      <w:pPr>
        <w:jc w:val="center"/>
        <w:rPr>
          <w:b/>
          <w:bCs/>
          <w:sz w:val="30"/>
          <w:lang w:bidi="he-IL"/>
        </w:rPr>
      </w:pPr>
    </w:p>
    <w:p>
      <w:pPr>
        <w:jc w:val="center"/>
        <w:rPr>
          <w:b/>
          <w:bCs/>
          <w:sz w:val="30"/>
          <w:lang w:bidi="he-IL"/>
        </w:rPr>
      </w:pPr>
    </w:p>
    <w:p>
      <w:pPr>
        <w:jc w:val="center"/>
        <w:rPr>
          <w:rFonts w:hint="eastAsia" w:ascii="宋体" w:hAnsi="宋体"/>
          <w:b/>
          <w:bCs/>
          <w:kern w:val="0"/>
          <w:sz w:val="40"/>
          <w:szCs w:val="30"/>
        </w:rPr>
      </w:pPr>
    </w:p>
    <w:p>
      <w:pPr>
        <w:jc w:val="center"/>
        <w:rPr>
          <w:rFonts w:ascii="宋体" w:hAnsi="宋体"/>
          <w:b/>
          <w:bCs/>
          <w:kern w:val="0"/>
          <w:sz w:val="40"/>
          <w:szCs w:val="30"/>
        </w:rPr>
      </w:pPr>
      <w:r>
        <w:rPr>
          <w:rFonts w:hint="eastAsia" w:ascii="宋体" w:hAnsi="宋体"/>
          <w:b/>
          <w:bCs/>
          <w:kern w:val="0"/>
          <w:sz w:val="40"/>
          <w:szCs w:val="30"/>
        </w:rPr>
        <w:t>目  录</w:t>
      </w:r>
    </w:p>
    <w:p>
      <w:pPr>
        <w:pStyle w:val="13"/>
        <w:tabs>
          <w:tab w:val="right" w:leader="dot" w:pos="8296"/>
        </w:tabs>
        <w:rPr>
          <w:rStyle w:val="21"/>
          <w:rFonts w:ascii="宋体" w:hAnsi="宋体"/>
          <w:color w:val="auto"/>
        </w:rPr>
      </w:pPr>
    </w:p>
    <w:p>
      <w:pPr>
        <w:rPr>
          <w:b/>
          <w:bCs/>
          <w:sz w:val="24"/>
        </w:rPr>
      </w:pPr>
      <w:r>
        <w:rPr>
          <w:rFonts w:hint="eastAsia"/>
          <w:b/>
          <w:bCs/>
          <w:sz w:val="24"/>
        </w:rPr>
        <w:t>第一部分  投标</w:t>
      </w:r>
      <w:r>
        <w:rPr>
          <w:b/>
          <w:bCs/>
          <w:sz w:val="24"/>
        </w:rPr>
        <w:t>人须知</w:t>
      </w:r>
    </w:p>
    <w:p>
      <w:pPr>
        <w:rPr>
          <w:sz w:val="24"/>
        </w:rPr>
      </w:pPr>
    </w:p>
    <w:p>
      <w:pPr>
        <w:rPr>
          <w:b/>
          <w:bCs/>
          <w:sz w:val="24"/>
        </w:rPr>
      </w:pPr>
      <w:r>
        <w:rPr>
          <w:rFonts w:hint="eastAsia"/>
          <w:b/>
          <w:bCs/>
          <w:sz w:val="24"/>
        </w:rPr>
        <w:t>第二部分  采购需求</w:t>
      </w:r>
    </w:p>
    <w:p>
      <w:pPr>
        <w:rPr>
          <w:sz w:val="24"/>
        </w:rPr>
      </w:pPr>
    </w:p>
    <w:p>
      <w:pPr>
        <w:rPr>
          <w:sz w:val="24"/>
        </w:rPr>
      </w:pPr>
      <w:r>
        <w:rPr>
          <w:rFonts w:hint="eastAsia"/>
          <w:b/>
          <w:bCs/>
          <w:sz w:val="24"/>
        </w:rPr>
        <w:t>第三部分  投标文件（样式）</w:t>
      </w:r>
    </w:p>
    <w:p/>
    <w:p/>
    <w:p/>
    <w:p/>
    <w:p/>
    <w:p/>
    <w:p/>
    <w:p/>
    <w:p/>
    <w:p/>
    <w:p/>
    <w:p/>
    <w:p/>
    <w:p/>
    <w:p/>
    <w:p/>
    <w:p/>
    <w:p/>
    <w:p/>
    <w:p/>
    <w:p/>
    <w:p/>
    <w:p/>
    <w:p/>
    <w:p/>
    <w:p/>
    <w:p/>
    <w:p/>
    <w:p>
      <w:pPr>
        <w:pStyle w:val="15"/>
        <w:rPr>
          <w:kern w:val="0"/>
        </w:rPr>
      </w:pPr>
    </w:p>
    <w:p/>
    <w:p/>
    <w:p/>
    <w:p/>
    <w:p>
      <w:pPr>
        <w:pStyle w:val="15"/>
        <w:rPr>
          <w:kern w:val="0"/>
        </w:rPr>
      </w:pPr>
      <w:bookmarkStart w:id="4" w:name="_Toc29803283"/>
      <w:r>
        <w:rPr>
          <w:rFonts w:hint="eastAsia"/>
          <w:kern w:val="0"/>
        </w:rPr>
        <w:t>第一部分  投标</w:t>
      </w:r>
      <w:r>
        <w:rPr>
          <w:kern w:val="0"/>
        </w:rPr>
        <w:t>人须知</w:t>
      </w:r>
      <w:bookmarkEnd w:id="0"/>
      <w:bookmarkEnd w:id="4"/>
    </w:p>
    <w:p>
      <w:pPr>
        <w:pStyle w:val="35"/>
        <w:rPr>
          <w:b/>
          <w:sz w:val="28"/>
          <w:szCs w:val="28"/>
        </w:rPr>
      </w:pPr>
      <w:r>
        <w:rPr>
          <w:rFonts w:hint="eastAsia"/>
          <w:b/>
          <w:sz w:val="28"/>
          <w:szCs w:val="28"/>
        </w:rPr>
        <w:t>一、</w:t>
      </w:r>
      <w:r>
        <w:rPr>
          <w:rFonts w:hint="eastAsia" w:ascii="宋体" w:hAnsi="宋体"/>
          <w:b/>
          <w:bCs/>
          <w:kern w:val="0"/>
          <w:sz w:val="28"/>
          <w:szCs w:val="28"/>
        </w:rPr>
        <w:t>投标</w:t>
      </w:r>
      <w:r>
        <w:rPr>
          <w:rFonts w:ascii="宋体" w:hAnsi="宋体"/>
          <w:b/>
          <w:bCs/>
          <w:kern w:val="0"/>
          <w:sz w:val="28"/>
          <w:szCs w:val="28"/>
        </w:rPr>
        <w:t>人须知前附表</w:t>
      </w:r>
    </w:p>
    <w:p>
      <w:pPr>
        <w:pStyle w:val="35"/>
        <w:ind w:firstLine="480" w:firstLineChars="200"/>
        <w:rPr>
          <w:sz w:val="24"/>
        </w:rPr>
      </w:pPr>
      <w:r>
        <w:rPr>
          <w:rFonts w:hint="eastAsia"/>
          <w:sz w:val="24"/>
        </w:rPr>
        <w:t>（一）</w:t>
      </w:r>
      <w:r>
        <w:rPr>
          <w:sz w:val="24"/>
        </w:rPr>
        <w:t>本《</w:t>
      </w:r>
      <w:r>
        <w:rPr>
          <w:rFonts w:hint="eastAsia"/>
          <w:sz w:val="24"/>
        </w:rPr>
        <w:t>投标</w:t>
      </w:r>
      <w:r>
        <w:rPr>
          <w:sz w:val="24"/>
        </w:rPr>
        <w:t>人须知前附表》是对《</w:t>
      </w:r>
      <w:r>
        <w:rPr>
          <w:rFonts w:hint="eastAsia"/>
          <w:sz w:val="24"/>
        </w:rPr>
        <w:t>投标</w:t>
      </w:r>
      <w:r>
        <w:rPr>
          <w:sz w:val="24"/>
        </w:rPr>
        <w:t>人须知》的具体补充和修改，如有矛盾，应以本《</w:t>
      </w:r>
      <w:r>
        <w:rPr>
          <w:rFonts w:hint="eastAsia"/>
          <w:sz w:val="24"/>
        </w:rPr>
        <w:t>投标</w:t>
      </w:r>
      <w:r>
        <w:rPr>
          <w:sz w:val="24"/>
        </w:rPr>
        <w:t>人须知前附表》为准。</w:t>
      </w:r>
    </w:p>
    <w:tbl>
      <w:tblPr>
        <w:tblStyle w:val="16"/>
        <w:tblW w:w="81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5"/>
              <w:jc w:val="center"/>
              <w:rPr>
                <w:sz w:val="24"/>
              </w:rPr>
            </w:pPr>
            <w:r>
              <w:rPr>
                <w:sz w:val="24"/>
              </w:rPr>
              <w:t>序号</w:t>
            </w:r>
          </w:p>
        </w:tc>
        <w:tc>
          <w:tcPr>
            <w:tcW w:w="7302" w:type="dxa"/>
            <w:vAlign w:val="center"/>
          </w:tcPr>
          <w:p>
            <w:pPr>
              <w:pStyle w:val="35"/>
              <w:jc w:val="center"/>
              <w:rPr>
                <w:sz w:val="24"/>
              </w:rPr>
            </w:pPr>
            <w:r>
              <w:rPr>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1" w:type="dxa"/>
            <w:vMerge w:val="restart"/>
            <w:vAlign w:val="center"/>
          </w:tcPr>
          <w:p>
            <w:pPr>
              <w:pStyle w:val="35"/>
              <w:jc w:val="center"/>
              <w:rPr>
                <w:sz w:val="24"/>
              </w:rPr>
            </w:pPr>
            <w:r>
              <w:rPr>
                <w:rFonts w:hint="eastAsia"/>
                <w:sz w:val="24"/>
              </w:rPr>
              <w:t>1</w:t>
            </w:r>
          </w:p>
        </w:tc>
        <w:tc>
          <w:tcPr>
            <w:tcW w:w="7302" w:type="dxa"/>
            <w:vAlign w:val="center"/>
          </w:tcPr>
          <w:p>
            <w:pPr>
              <w:pStyle w:val="35"/>
              <w:rPr>
                <w:sz w:val="24"/>
              </w:rPr>
            </w:pPr>
            <w:r>
              <w:rPr>
                <w:sz w:val="24"/>
              </w:rPr>
              <w:t>项目名称</w:t>
            </w:r>
            <w:r>
              <w:rPr>
                <w:rFonts w:hint="eastAsia"/>
                <w:sz w:val="24"/>
              </w:rPr>
              <w:t>：电气设备预防性试验检测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1" w:type="dxa"/>
            <w:vMerge w:val="continue"/>
            <w:vAlign w:val="center"/>
          </w:tcPr>
          <w:p>
            <w:pPr>
              <w:pStyle w:val="35"/>
              <w:jc w:val="center"/>
              <w:rPr>
                <w:sz w:val="24"/>
              </w:rPr>
            </w:pPr>
          </w:p>
        </w:tc>
        <w:tc>
          <w:tcPr>
            <w:tcW w:w="7302" w:type="dxa"/>
            <w:vAlign w:val="center"/>
          </w:tcPr>
          <w:p>
            <w:pPr>
              <w:pStyle w:val="35"/>
              <w:rPr>
                <w:rFonts w:hint="default" w:eastAsia="宋体"/>
                <w:sz w:val="24"/>
                <w:lang w:val="en-US" w:eastAsia="zh-CN"/>
              </w:rPr>
            </w:pPr>
            <w:r>
              <w:rPr>
                <w:rFonts w:hint="eastAsia"/>
                <w:sz w:val="24"/>
                <w:lang w:val="en-US" w:eastAsia="zh-CN"/>
              </w:rPr>
              <w:t>最高限价</w:t>
            </w:r>
            <w:r>
              <w:rPr>
                <w:rFonts w:hint="eastAsia"/>
                <w:sz w:val="24"/>
                <w:lang w:eastAsia="zh-CN"/>
              </w:rPr>
              <w:t>：</w:t>
            </w:r>
            <w:r>
              <w:rPr>
                <w:rFonts w:hint="eastAsia"/>
                <w:sz w:val="24"/>
                <w:lang w:val="en-US" w:eastAsia="zh-CN"/>
              </w:rPr>
              <w:t>4.98万元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1" w:type="dxa"/>
            <w:vMerge w:val="continue"/>
            <w:vAlign w:val="center"/>
          </w:tcPr>
          <w:p>
            <w:pPr>
              <w:pStyle w:val="35"/>
              <w:jc w:val="center"/>
              <w:rPr>
                <w:sz w:val="24"/>
              </w:rPr>
            </w:pPr>
          </w:p>
        </w:tc>
        <w:tc>
          <w:tcPr>
            <w:tcW w:w="7302" w:type="dxa"/>
            <w:vAlign w:val="center"/>
          </w:tcPr>
          <w:p>
            <w:pPr>
              <w:pStyle w:val="35"/>
              <w:rPr>
                <w:rFonts w:hint="default" w:eastAsia="宋体"/>
                <w:sz w:val="24"/>
                <w:lang w:val="en-US" w:eastAsia="zh-CN"/>
              </w:rPr>
            </w:pPr>
            <w:r>
              <w:rPr>
                <w:rFonts w:hint="eastAsia"/>
                <w:sz w:val="24"/>
              </w:rPr>
              <w:t>项目期限：</w:t>
            </w:r>
            <w:r>
              <w:rPr>
                <w:rFonts w:hint="eastAsia"/>
                <w:sz w:val="24"/>
                <w:lang w:val="en-US" w:eastAsia="zh-CN"/>
              </w:rPr>
              <w:t xml:space="preserve"> 2022 </w:t>
            </w:r>
            <w:r>
              <w:rPr>
                <w:rFonts w:hint="eastAsia"/>
                <w:sz w:val="24"/>
              </w:rPr>
              <w:t>年</w:t>
            </w:r>
            <w:r>
              <w:rPr>
                <w:rFonts w:hint="eastAsia"/>
                <w:sz w:val="24"/>
                <w:lang w:val="en-US" w:eastAsia="zh-CN"/>
              </w:rPr>
              <w:t>8月2日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1" w:type="dxa"/>
            <w:vMerge w:val="continue"/>
            <w:vAlign w:val="center"/>
          </w:tcPr>
          <w:p>
            <w:pPr>
              <w:pStyle w:val="35"/>
              <w:jc w:val="center"/>
              <w:rPr>
                <w:sz w:val="24"/>
              </w:rPr>
            </w:pPr>
          </w:p>
        </w:tc>
        <w:tc>
          <w:tcPr>
            <w:tcW w:w="7302" w:type="dxa"/>
            <w:vAlign w:val="center"/>
          </w:tcPr>
          <w:p>
            <w:pPr>
              <w:pStyle w:val="35"/>
              <w:rPr>
                <w:sz w:val="24"/>
              </w:rPr>
            </w:pPr>
            <w:r>
              <w:rPr>
                <w:rFonts w:hint="eastAsia"/>
                <w:sz w:val="24"/>
              </w:rPr>
              <w:t>项目划分：本项目不分包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5"/>
              <w:jc w:val="center"/>
              <w:rPr>
                <w:sz w:val="24"/>
              </w:rPr>
            </w:pPr>
            <w:r>
              <w:rPr>
                <w:rFonts w:hint="eastAsia"/>
                <w:sz w:val="24"/>
              </w:rPr>
              <w:t>2</w:t>
            </w:r>
          </w:p>
        </w:tc>
        <w:tc>
          <w:tcPr>
            <w:tcW w:w="7302" w:type="dxa"/>
            <w:vAlign w:val="center"/>
          </w:tcPr>
          <w:p>
            <w:pPr>
              <w:pStyle w:val="12"/>
              <w:rPr>
                <w:rFonts w:hint="default" w:eastAsia="宋体"/>
                <w:sz w:val="24"/>
                <w:lang w:val="en-US" w:eastAsia="zh-CN"/>
              </w:rPr>
            </w:pPr>
            <w:r>
              <w:rPr>
                <w:rFonts w:hint="eastAsia"/>
                <w:sz w:val="24"/>
              </w:rPr>
              <w:t>采购单位：</w:t>
            </w:r>
            <w:r>
              <w:rPr>
                <w:rFonts w:hint="eastAsia"/>
                <w:sz w:val="24"/>
                <w:lang w:val="en-US" w:eastAsia="zh-CN"/>
              </w:rPr>
              <w:t>蚌埠市中医医院</w:t>
            </w:r>
          </w:p>
          <w:p>
            <w:pPr>
              <w:pStyle w:val="12"/>
              <w:rPr>
                <w:sz w:val="24"/>
              </w:rPr>
            </w:pPr>
            <w:r>
              <w:rPr>
                <w:rFonts w:hint="eastAsia"/>
                <w:sz w:val="24"/>
              </w:rPr>
              <w:t>采购方式：</w:t>
            </w:r>
            <w:r>
              <w:rPr>
                <w:rFonts w:hint="eastAsia"/>
                <w:b/>
                <w:sz w:val="24"/>
              </w:rPr>
              <w:t>公开招标</w:t>
            </w:r>
          </w:p>
          <w:p>
            <w:pPr>
              <w:pStyle w:val="12"/>
              <w:rPr>
                <w:sz w:val="24"/>
              </w:rPr>
            </w:pPr>
            <w:r>
              <w:rPr>
                <w:rFonts w:hint="eastAsia"/>
                <w:sz w:val="24"/>
              </w:rPr>
              <w:t>联系电话：</w:t>
            </w:r>
            <w:r>
              <w:rPr>
                <w:rFonts w:hint="eastAsia"/>
                <w:sz w:val="24"/>
                <w:lang w:val="en-US" w:eastAsia="zh-CN"/>
              </w:rPr>
              <w:t>13904098161</w:t>
            </w:r>
          </w:p>
          <w:p>
            <w:pPr>
              <w:pStyle w:val="12"/>
              <w:rPr>
                <w:sz w:val="24"/>
                <w:szCs w:val="24"/>
              </w:rPr>
            </w:pPr>
            <w:r>
              <w:rPr>
                <w:rFonts w:hint="eastAsia"/>
                <w:sz w:val="24"/>
                <w:szCs w:val="24"/>
              </w:rPr>
              <w:t>联系</w:t>
            </w:r>
            <w:r>
              <w:rPr>
                <w:sz w:val="24"/>
                <w:szCs w:val="24"/>
              </w:rPr>
              <w:t>地址</w:t>
            </w:r>
            <w:r>
              <w:rPr>
                <w:rFonts w:hint="eastAsia"/>
                <w:sz w:val="24"/>
                <w:szCs w:val="24"/>
              </w:rPr>
              <w:t>：</w:t>
            </w:r>
            <w:r>
              <w:rPr>
                <w:rFonts w:hint="eastAsia"/>
                <w:sz w:val="24"/>
                <w:szCs w:val="24"/>
                <w:lang w:val="en-US" w:eastAsia="zh-CN"/>
              </w:rPr>
              <w:t>蚌埠市淮上区</w:t>
            </w:r>
            <w:r>
              <w:rPr>
                <w:rFonts w:hint="eastAsia"/>
                <w:sz w:val="24"/>
                <w:lang w:val="en-US" w:eastAsia="zh-CN"/>
              </w:rPr>
              <w:t>淮上大道4339号蚌埠市中医医院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1" w:type="dxa"/>
            <w:vAlign w:val="center"/>
          </w:tcPr>
          <w:p>
            <w:pPr>
              <w:pStyle w:val="35"/>
              <w:jc w:val="center"/>
              <w:rPr>
                <w:sz w:val="24"/>
              </w:rPr>
            </w:pPr>
            <w:r>
              <w:rPr>
                <w:rFonts w:hint="eastAsia"/>
                <w:sz w:val="24"/>
              </w:rPr>
              <w:t>3</w:t>
            </w:r>
          </w:p>
        </w:tc>
        <w:tc>
          <w:tcPr>
            <w:tcW w:w="7302" w:type="dxa"/>
            <w:vAlign w:val="center"/>
          </w:tcPr>
          <w:p>
            <w:pPr>
              <w:pStyle w:val="35"/>
              <w:rPr>
                <w:sz w:val="24"/>
              </w:rPr>
            </w:pPr>
            <w:r>
              <w:rPr>
                <w:sz w:val="24"/>
              </w:rPr>
              <w:t>交货地点：</w:t>
            </w:r>
            <w:r>
              <w:rPr>
                <w:rFonts w:hint="eastAsia"/>
                <w:sz w:val="24"/>
                <w:lang w:val="en-US" w:eastAsia="zh-CN"/>
              </w:rPr>
              <w:t>蚌埠市中医医院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1" w:type="dxa"/>
            <w:vAlign w:val="center"/>
          </w:tcPr>
          <w:p>
            <w:pPr>
              <w:pStyle w:val="35"/>
              <w:jc w:val="center"/>
              <w:rPr>
                <w:sz w:val="24"/>
              </w:rPr>
            </w:pPr>
            <w:r>
              <w:rPr>
                <w:rFonts w:hint="eastAsia"/>
                <w:sz w:val="24"/>
              </w:rPr>
              <w:t>4</w:t>
            </w:r>
          </w:p>
        </w:tc>
        <w:tc>
          <w:tcPr>
            <w:tcW w:w="7302" w:type="dxa"/>
            <w:vAlign w:val="center"/>
          </w:tcPr>
          <w:p>
            <w:pPr>
              <w:pStyle w:val="35"/>
              <w:rPr>
                <w:sz w:val="24"/>
              </w:rPr>
            </w:pPr>
            <w:r>
              <w:rPr>
                <w:rFonts w:hint="eastAsia"/>
                <w:sz w:val="24"/>
              </w:rPr>
              <w:t>投标文件</w:t>
            </w:r>
            <w:r>
              <w:rPr>
                <w:sz w:val="24"/>
              </w:rPr>
              <w:t>数</w:t>
            </w:r>
            <w:r>
              <w:rPr>
                <w:rFonts w:hint="eastAsia"/>
                <w:sz w:val="24"/>
              </w:rPr>
              <w:t>：</w:t>
            </w:r>
            <w:r>
              <w:rPr>
                <w:sz w:val="24"/>
              </w:rPr>
              <w:t>正本1份</w:t>
            </w:r>
            <w:r>
              <w:rPr>
                <w:rFonts w:hint="eastAsia"/>
                <w:sz w:val="24"/>
              </w:rPr>
              <w:t>，</w:t>
            </w:r>
            <w:r>
              <w:rPr>
                <w:sz w:val="24"/>
              </w:rPr>
              <w:t>副本</w:t>
            </w:r>
            <w:r>
              <w:rPr>
                <w:rFonts w:hint="eastAsia"/>
                <w:sz w:val="24"/>
                <w:lang w:val="en-US" w:eastAsia="zh-CN"/>
              </w:rPr>
              <w:t>1</w:t>
            </w:r>
            <w:r>
              <w:rPr>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35"/>
              <w:jc w:val="center"/>
              <w:rPr>
                <w:sz w:val="24"/>
              </w:rPr>
            </w:pPr>
            <w:r>
              <w:rPr>
                <w:rFonts w:hint="eastAsia"/>
                <w:sz w:val="24"/>
              </w:rPr>
              <w:t>5</w:t>
            </w:r>
          </w:p>
        </w:tc>
        <w:tc>
          <w:tcPr>
            <w:tcW w:w="7302" w:type="dxa"/>
            <w:vAlign w:val="center"/>
          </w:tcPr>
          <w:p>
            <w:pPr>
              <w:pStyle w:val="35"/>
              <w:rPr>
                <w:sz w:val="24"/>
              </w:rPr>
            </w:pPr>
            <w:r>
              <w:rPr>
                <w:rFonts w:hint="eastAsia"/>
                <w:color w:val="000000"/>
                <w:sz w:val="24"/>
              </w:rPr>
              <w:t>投标时间：截至</w:t>
            </w:r>
            <w:r>
              <w:rPr>
                <w:rFonts w:hint="eastAsia"/>
                <w:color w:val="000000"/>
                <w:sz w:val="24"/>
                <w:lang w:val="en-US" w:eastAsia="zh-CN"/>
              </w:rPr>
              <w:t>2022</w:t>
            </w:r>
            <w:r>
              <w:rPr>
                <w:rFonts w:hint="eastAsia"/>
                <w:color w:val="000000"/>
                <w:sz w:val="24"/>
              </w:rPr>
              <w:t>年</w:t>
            </w:r>
            <w:r>
              <w:rPr>
                <w:rFonts w:hint="eastAsia"/>
                <w:color w:val="000000"/>
                <w:sz w:val="24"/>
                <w:lang w:val="en-US" w:eastAsia="zh-CN"/>
              </w:rPr>
              <w:t>8</w:t>
            </w:r>
            <w:r>
              <w:rPr>
                <w:rFonts w:hint="eastAsia"/>
                <w:color w:val="000000"/>
                <w:sz w:val="24"/>
              </w:rPr>
              <w:t>月</w:t>
            </w:r>
            <w:r>
              <w:rPr>
                <w:rFonts w:hint="eastAsia"/>
                <w:color w:val="000000"/>
                <w:sz w:val="24"/>
                <w:lang w:val="en-US" w:eastAsia="zh-CN"/>
              </w:rPr>
              <w:t xml:space="preserve"> 4 </w:t>
            </w:r>
            <w:r>
              <w:rPr>
                <w:rFonts w:hint="eastAsia"/>
                <w:color w:val="000000"/>
                <w:sz w:val="24"/>
              </w:rPr>
              <w:t>日17:00前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Align w:val="center"/>
          </w:tcPr>
          <w:p>
            <w:pPr>
              <w:pStyle w:val="35"/>
              <w:jc w:val="center"/>
              <w:rPr>
                <w:sz w:val="24"/>
              </w:rPr>
            </w:pPr>
            <w:r>
              <w:rPr>
                <w:rFonts w:hint="eastAsia"/>
                <w:sz w:val="24"/>
              </w:rPr>
              <w:t>6</w:t>
            </w:r>
          </w:p>
        </w:tc>
        <w:tc>
          <w:tcPr>
            <w:tcW w:w="7302" w:type="dxa"/>
            <w:vAlign w:val="center"/>
          </w:tcPr>
          <w:p>
            <w:pPr>
              <w:pStyle w:val="35"/>
              <w:rPr>
                <w:color w:val="000000"/>
                <w:sz w:val="24"/>
              </w:rPr>
            </w:pPr>
            <w:r>
              <w:rPr>
                <w:rFonts w:hint="eastAsia"/>
                <w:b/>
                <w:color w:val="000000"/>
                <w:sz w:val="24"/>
              </w:rPr>
              <w:t>投标方式</w:t>
            </w:r>
            <w:r>
              <w:rPr>
                <w:rFonts w:hint="eastAsia"/>
                <w:color w:val="000000"/>
                <w:sz w:val="24"/>
              </w:rPr>
              <w:t>：将按要求封装的投标文件</w:t>
            </w:r>
            <w:r>
              <w:rPr>
                <w:rFonts w:hint="eastAsia"/>
                <w:b/>
                <w:color w:val="000000"/>
                <w:sz w:val="24"/>
              </w:rPr>
              <w:t>送至</w:t>
            </w:r>
            <w:r>
              <w:rPr>
                <w:rFonts w:hint="eastAsia"/>
                <w:b/>
                <w:color w:val="000000"/>
                <w:sz w:val="24"/>
                <w:lang w:val="en-US" w:eastAsia="zh-CN"/>
              </w:rPr>
              <w:t xml:space="preserve"> </w:t>
            </w:r>
            <w:r>
              <w:rPr>
                <w:rFonts w:hint="eastAsia"/>
                <w:sz w:val="24"/>
                <w:lang w:val="en-US" w:eastAsia="zh-CN"/>
              </w:rPr>
              <w:t>蚌埠市中医医院项目办</w:t>
            </w:r>
            <w:r>
              <w:rPr>
                <w:rFonts w:hint="eastAsia"/>
                <w:b/>
                <w:color w:val="000000"/>
                <w:sz w:val="24"/>
                <w:lang w:val="en-US" w:eastAsia="zh-CN"/>
              </w:rPr>
              <w:t xml:space="preserve">        </w:t>
            </w:r>
            <w:r>
              <w:rPr>
                <w:rFonts w:hint="eastAsia"/>
                <w:color w:val="000000"/>
                <w:sz w:val="24"/>
              </w:rPr>
              <w:t>；</w:t>
            </w:r>
          </w:p>
          <w:p>
            <w:pPr>
              <w:pStyle w:val="35"/>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Align w:val="center"/>
          </w:tcPr>
          <w:p>
            <w:pPr>
              <w:pStyle w:val="35"/>
              <w:jc w:val="center"/>
              <w:rPr>
                <w:sz w:val="24"/>
              </w:rPr>
            </w:pPr>
            <w:r>
              <w:rPr>
                <w:rFonts w:hint="eastAsia"/>
                <w:sz w:val="24"/>
              </w:rPr>
              <w:t>7</w:t>
            </w:r>
          </w:p>
        </w:tc>
        <w:tc>
          <w:tcPr>
            <w:tcW w:w="7302" w:type="dxa"/>
            <w:vAlign w:val="center"/>
          </w:tcPr>
          <w:p>
            <w:pPr>
              <w:pStyle w:val="35"/>
              <w:rPr>
                <w:color w:val="000000"/>
                <w:sz w:val="24"/>
              </w:rPr>
            </w:pPr>
            <w:r>
              <w:rPr>
                <w:rFonts w:hint="eastAsia"/>
                <w:sz w:val="24"/>
              </w:rPr>
              <w:t>开标时间、地点另行通知。</w:t>
            </w:r>
          </w:p>
        </w:tc>
      </w:tr>
    </w:tbl>
    <w:p>
      <w:pPr>
        <w:pStyle w:val="35"/>
        <w:rPr>
          <w:b/>
          <w:sz w:val="28"/>
          <w:szCs w:val="28"/>
        </w:rPr>
      </w:pPr>
      <w:r>
        <w:rPr>
          <w:b/>
          <w:sz w:val="28"/>
          <w:szCs w:val="28"/>
        </w:rPr>
        <w:t>二、</w:t>
      </w:r>
      <w:r>
        <w:rPr>
          <w:rFonts w:hint="eastAsia"/>
          <w:b/>
          <w:sz w:val="28"/>
          <w:szCs w:val="28"/>
        </w:rPr>
        <w:t>投标</w:t>
      </w:r>
      <w:r>
        <w:rPr>
          <w:b/>
          <w:sz w:val="28"/>
          <w:szCs w:val="28"/>
        </w:rPr>
        <w:t>人须知</w:t>
      </w:r>
    </w:p>
    <w:p>
      <w:pPr>
        <w:spacing w:line="400" w:lineRule="exact"/>
        <w:ind w:firstLine="482" w:firstLineChars="200"/>
        <w:rPr>
          <w:b/>
          <w:sz w:val="24"/>
        </w:rPr>
      </w:pPr>
      <w:r>
        <w:rPr>
          <w:rFonts w:hint="eastAsia"/>
          <w:b/>
          <w:sz w:val="24"/>
        </w:rPr>
        <w:t>（一）投标人</w:t>
      </w:r>
      <w:r>
        <w:rPr>
          <w:b/>
          <w:sz w:val="24"/>
        </w:rPr>
        <w:t>资格要求</w:t>
      </w:r>
    </w:p>
    <w:p>
      <w:pPr>
        <w:spacing w:line="400" w:lineRule="exact"/>
        <w:ind w:firstLine="480" w:firstLineChars="200"/>
        <w:rPr>
          <w:sz w:val="24"/>
        </w:rPr>
      </w:pPr>
      <w:r>
        <w:rPr>
          <w:rFonts w:hint="eastAsia"/>
          <w:sz w:val="24"/>
        </w:rPr>
        <w:t>1、满足《中华人民共和国政府采购法》第二十二条规定：</w:t>
      </w:r>
    </w:p>
    <w:p>
      <w:pPr>
        <w:spacing w:line="400" w:lineRule="exact"/>
        <w:ind w:firstLine="480" w:firstLineChars="200"/>
        <w:rPr>
          <w:sz w:val="24"/>
        </w:rPr>
      </w:pPr>
      <w:r>
        <w:rPr>
          <w:rFonts w:hint="eastAsia"/>
          <w:sz w:val="24"/>
        </w:rPr>
        <w:t>（1）具有独立承担民事责任的能力；（2）具有良好的商业信誉和健全的财务会计制度；（3）具有履行合同所必需的设备和专业技术能力；（4）有依法缴纳税收和社会保障资金的良好记录；（</w:t>
      </w:r>
      <w:r>
        <w:rPr>
          <w:rFonts w:hint="eastAsia"/>
          <w:sz w:val="24"/>
          <w:lang w:val="en-US" w:eastAsia="zh-CN"/>
        </w:rPr>
        <w:t>5</w:t>
      </w:r>
      <w:r>
        <w:rPr>
          <w:rFonts w:hint="eastAsia"/>
          <w:sz w:val="24"/>
        </w:rPr>
        <w:t>）法律、行政法规规定的其他条件。</w:t>
      </w:r>
    </w:p>
    <w:p>
      <w:pPr>
        <w:widowControl/>
        <w:shd w:val="clear" w:color="auto" w:fill="FFFFFF"/>
        <w:spacing w:line="400" w:lineRule="exact"/>
        <w:ind w:firstLine="480" w:firstLineChars="200"/>
        <w:jc w:val="left"/>
        <w:rPr>
          <w:sz w:val="24"/>
        </w:rPr>
      </w:pPr>
      <w:r>
        <w:rPr>
          <w:rFonts w:hint="eastAsia"/>
          <w:sz w:val="24"/>
        </w:rPr>
        <w:t>2、投标人如为制造商，须提供有效的中华人民共和国生产企业许可证。投标人如为经销（代理）商，所投产品须在其经营范围内，须具有本产品国内总代理或区域代理针对本项目投标产品的授权书。投标人如为服务商，须提供相应的服务范围、资质等级。</w:t>
      </w:r>
    </w:p>
    <w:p>
      <w:pPr>
        <w:widowControl/>
        <w:shd w:val="clear" w:color="auto" w:fill="FFFFFF"/>
        <w:spacing w:line="400" w:lineRule="exact"/>
        <w:ind w:firstLine="422" w:firstLineChars="200"/>
        <w:jc w:val="left"/>
        <w:rPr>
          <w:rFonts w:hint="eastAsia" w:eastAsia="宋体"/>
          <w:b/>
          <w:sz w:val="21"/>
          <w:szCs w:val="21"/>
          <w:lang w:val="en-US" w:eastAsia="zh-CN"/>
        </w:rPr>
      </w:pPr>
      <w:r>
        <w:rPr>
          <w:rFonts w:hint="eastAsia"/>
          <w:b/>
          <w:sz w:val="21"/>
          <w:szCs w:val="21"/>
        </w:rPr>
        <w:t>本项目</w:t>
      </w:r>
      <w:r>
        <w:rPr>
          <w:rFonts w:hint="eastAsia"/>
          <w:b/>
          <w:sz w:val="21"/>
          <w:szCs w:val="21"/>
          <w:lang w:val="en-US" w:eastAsia="zh-CN"/>
        </w:rPr>
        <w:t>资格评审</w:t>
      </w:r>
      <w:r>
        <w:rPr>
          <w:rFonts w:hint="eastAsia"/>
          <w:b/>
          <w:sz w:val="21"/>
          <w:szCs w:val="21"/>
        </w:rPr>
        <w:t>具体要求为： 报名供应商必须具备相应电气试验资质：营业执照经营范围须包含</w:t>
      </w:r>
      <w:r>
        <w:rPr>
          <w:rFonts w:hint="eastAsia"/>
          <w:b/>
          <w:color w:val="FF0000"/>
          <w:sz w:val="21"/>
          <w:szCs w:val="21"/>
        </w:rPr>
        <w:t>电气</w:t>
      </w:r>
      <w:r>
        <w:rPr>
          <w:rFonts w:hint="eastAsia"/>
          <w:b/>
          <w:color w:val="FF0000"/>
          <w:sz w:val="21"/>
          <w:szCs w:val="21"/>
          <w:lang w:val="en-US" w:eastAsia="zh-CN"/>
        </w:rPr>
        <w:t>设施试验</w:t>
      </w:r>
      <w:r>
        <w:rPr>
          <w:rFonts w:hint="eastAsia"/>
          <w:b/>
          <w:sz w:val="21"/>
          <w:szCs w:val="21"/>
        </w:rPr>
        <w:t>，具有国家电力监管部门或国家能源局颁发的有效的承装（修、试）电力设施许可证资质（其中承试</w:t>
      </w:r>
      <w:r>
        <w:rPr>
          <w:rFonts w:hint="eastAsia"/>
          <w:b/>
          <w:color w:val="FF0000"/>
          <w:sz w:val="21"/>
          <w:szCs w:val="21"/>
          <w:lang w:val="en-US" w:eastAsia="zh-CN"/>
        </w:rPr>
        <w:t>四</w:t>
      </w:r>
      <w:r>
        <w:rPr>
          <w:rFonts w:hint="eastAsia"/>
          <w:b/>
          <w:sz w:val="21"/>
          <w:szCs w:val="21"/>
        </w:rPr>
        <w:t>级及以上），安全生产许可证</w:t>
      </w:r>
      <w:r>
        <w:rPr>
          <w:rFonts w:hint="eastAsia"/>
          <w:b/>
          <w:sz w:val="21"/>
          <w:szCs w:val="21"/>
          <w:lang w:eastAsia="zh-CN"/>
        </w:rPr>
        <w:t>。</w:t>
      </w:r>
    </w:p>
    <w:p>
      <w:pPr>
        <w:widowControl/>
        <w:shd w:val="clear" w:color="auto" w:fill="FFFFFF"/>
        <w:spacing w:line="400" w:lineRule="exact"/>
        <w:ind w:firstLine="422" w:firstLineChars="200"/>
        <w:jc w:val="left"/>
        <w:rPr>
          <w:rFonts w:hint="eastAsia"/>
          <w:b/>
          <w:sz w:val="21"/>
          <w:szCs w:val="21"/>
          <w:lang w:val="en-US" w:eastAsia="zh-CN"/>
        </w:rPr>
      </w:pPr>
    </w:p>
    <w:p>
      <w:pPr>
        <w:widowControl/>
        <w:shd w:val="clear" w:color="auto" w:fill="FFFFFF"/>
        <w:spacing w:line="400" w:lineRule="exact"/>
        <w:ind w:firstLine="422" w:firstLineChars="200"/>
        <w:jc w:val="left"/>
        <w:rPr>
          <w:rFonts w:hint="eastAsia"/>
          <w:b/>
          <w:color w:val="FF0000"/>
          <w:sz w:val="21"/>
          <w:szCs w:val="21"/>
          <w:lang w:val="en-US" w:eastAsia="zh-CN"/>
        </w:rPr>
      </w:pPr>
      <w:r>
        <w:rPr>
          <w:rFonts w:hint="eastAsia"/>
          <w:b/>
          <w:color w:val="FF0000"/>
          <w:sz w:val="21"/>
          <w:szCs w:val="21"/>
          <w:lang w:val="en-US" w:eastAsia="zh-CN"/>
        </w:rPr>
        <w:t>服务要求如下（全部响应询比邀请函服务要求得50分，一项不满足或偏离扣10分，全部不满足得分0分）</w:t>
      </w:r>
    </w:p>
    <w:p>
      <w:pPr>
        <w:widowControl/>
        <w:shd w:val="clear" w:color="auto" w:fill="FFFFFF"/>
        <w:spacing w:line="400" w:lineRule="exact"/>
        <w:ind w:firstLine="422" w:firstLineChars="200"/>
        <w:jc w:val="left"/>
        <w:rPr>
          <w:rFonts w:hint="eastAsia"/>
          <w:b/>
          <w:color w:val="FF0000"/>
          <w:sz w:val="21"/>
          <w:szCs w:val="21"/>
        </w:rPr>
      </w:pPr>
      <w:r>
        <w:rPr>
          <w:rFonts w:hint="eastAsia"/>
          <w:b/>
          <w:color w:val="FF0000"/>
          <w:sz w:val="21"/>
          <w:szCs w:val="21"/>
          <w:lang w:val="en-US" w:eastAsia="zh-CN"/>
        </w:rPr>
        <w:t>1</w:t>
      </w:r>
      <w:r>
        <w:rPr>
          <w:rFonts w:hint="eastAsia"/>
          <w:b/>
          <w:color w:val="FF0000"/>
          <w:sz w:val="21"/>
          <w:szCs w:val="21"/>
        </w:rPr>
        <w:t>. 具有政府</w:t>
      </w:r>
      <w:r>
        <w:rPr>
          <w:rFonts w:hint="eastAsia"/>
          <w:b/>
          <w:color w:val="FF0000"/>
          <w:sz w:val="21"/>
          <w:szCs w:val="21"/>
          <w:lang w:val="en-US" w:eastAsia="zh-CN"/>
        </w:rPr>
        <w:t>部门</w:t>
      </w:r>
      <w:r>
        <w:rPr>
          <w:rFonts w:hint="eastAsia"/>
          <w:b/>
          <w:color w:val="FF0000"/>
          <w:sz w:val="21"/>
          <w:szCs w:val="21"/>
        </w:rPr>
        <w:t>颁发的CMA资质认定证书；</w:t>
      </w:r>
    </w:p>
    <w:p>
      <w:pPr>
        <w:widowControl/>
        <w:shd w:val="clear" w:color="auto" w:fill="FFFFFF"/>
        <w:spacing w:line="400" w:lineRule="exact"/>
        <w:ind w:firstLine="422" w:firstLineChars="200"/>
        <w:jc w:val="left"/>
        <w:rPr>
          <w:rFonts w:hint="eastAsia"/>
          <w:b/>
          <w:sz w:val="21"/>
          <w:szCs w:val="21"/>
        </w:rPr>
      </w:pPr>
      <w:r>
        <w:rPr>
          <w:rFonts w:hint="eastAsia"/>
          <w:b/>
          <w:sz w:val="21"/>
          <w:szCs w:val="21"/>
          <w:lang w:val="en-US" w:eastAsia="zh-CN"/>
        </w:rPr>
        <w:t>2</w:t>
      </w:r>
      <w:r>
        <w:rPr>
          <w:rFonts w:hint="eastAsia"/>
          <w:b/>
          <w:sz w:val="21"/>
          <w:szCs w:val="21"/>
        </w:rPr>
        <w:t>. 具有质量、环境、职业健康三体系认证证书；</w:t>
      </w:r>
    </w:p>
    <w:p>
      <w:pPr>
        <w:widowControl/>
        <w:shd w:val="clear" w:color="auto" w:fill="FFFFFF"/>
        <w:spacing w:line="400" w:lineRule="exact"/>
        <w:ind w:firstLine="422" w:firstLineChars="200"/>
        <w:jc w:val="left"/>
        <w:rPr>
          <w:rFonts w:hint="eastAsia"/>
          <w:b/>
          <w:sz w:val="21"/>
          <w:szCs w:val="21"/>
        </w:rPr>
      </w:pPr>
      <w:r>
        <w:rPr>
          <w:rFonts w:hint="eastAsia"/>
          <w:b/>
          <w:sz w:val="21"/>
          <w:szCs w:val="21"/>
          <w:lang w:val="en-US" w:eastAsia="zh-CN"/>
        </w:rPr>
        <w:t>3</w:t>
      </w:r>
      <w:r>
        <w:rPr>
          <w:rFonts w:hint="eastAsia"/>
          <w:b/>
          <w:sz w:val="21"/>
          <w:szCs w:val="21"/>
        </w:rPr>
        <w:t>.报名供应商具有良好的银行资信和商业信誉，在“国家企业信用信息公示系统”网站（http://www.gsxt.gov.cn）或各级信用信息共享平台未被列入严重违法失信企业名单或经营异常名录；</w:t>
      </w:r>
    </w:p>
    <w:p>
      <w:pPr>
        <w:widowControl/>
        <w:shd w:val="clear" w:color="auto" w:fill="FFFFFF"/>
        <w:spacing w:line="400" w:lineRule="exact"/>
        <w:ind w:firstLine="422" w:firstLineChars="200"/>
        <w:jc w:val="left"/>
        <w:rPr>
          <w:rFonts w:hint="eastAsia"/>
          <w:b/>
          <w:sz w:val="21"/>
          <w:szCs w:val="21"/>
        </w:rPr>
      </w:pPr>
      <w:r>
        <w:rPr>
          <w:rFonts w:hint="eastAsia"/>
          <w:b/>
          <w:sz w:val="21"/>
          <w:szCs w:val="21"/>
          <w:lang w:val="en-US" w:eastAsia="zh-CN"/>
        </w:rPr>
        <w:t>4</w:t>
      </w:r>
      <w:r>
        <w:rPr>
          <w:rFonts w:hint="eastAsia"/>
          <w:b/>
          <w:sz w:val="21"/>
          <w:szCs w:val="21"/>
        </w:rPr>
        <w:t>. 报名供应商需为本项目配备团队人员不少于7人，其中具备能源局或应急管理局/安监局颁发的特种电工证人员4名，高压电工作业证人员2名，安全管理人员1名（以上人员需提供有效的身份证正反面复印件、证书复印件及社保缴纳证明）；</w:t>
      </w:r>
    </w:p>
    <w:p>
      <w:pPr>
        <w:widowControl/>
        <w:shd w:val="clear" w:color="auto" w:fill="FFFFFF"/>
        <w:spacing w:line="400" w:lineRule="exact"/>
        <w:ind w:firstLine="422" w:firstLineChars="200"/>
        <w:jc w:val="left"/>
        <w:rPr>
          <w:rFonts w:hint="eastAsia"/>
          <w:b/>
          <w:sz w:val="21"/>
          <w:szCs w:val="21"/>
        </w:rPr>
      </w:pPr>
      <w:r>
        <w:rPr>
          <w:rFonts w:hint="eastAsia"/>
          <w:b/>
          <w:sz w:val="21"/>
          <w:szCs w:val="21"/>
          <w:lang w:val="en-US" w:eastAsia="zh-CN"/>
        </w:rPr>
        <w:t>5</w:t>
      </w:r>
      <w:r>
        <w:rPr>
          <w:rFonts w:hint="eastAsia"/>
          <w:b/>
          <w:sz w:val="21"/>
          <w:szCs w:val="21"/>
        </w:rPr>
        <w:t>. 报名供应商需为本项目配备相应的检测设备，并提供具备CMA或CNAS认证资质的第三方检测机构出具的有效校准证书复印件；</w:t>
      </w:r>
    </w:p>
    <w:p>
      <w:pPr>
        <w:widowControl/>
        <w:shd w:val="clear" w:color="auto" w:fill="FFFFFF"/>
        <w:spacing w:line="400" w:lineRule="exact"/>
        <w:ind w:firstLine="422" w:firstLineChars="200"/>
        <w:jc w:val="left"/>
        <w:rPr>
          <w:rFonts w:hint="eastAsia"/>
          <w:b/>
          <w:color w:val="FF0000"/>
          <w:sz w:val="21"/>
          <w:szCs w:val="21"/>
        </w:rPr>
      </w:pPr>
      <w:r>
        <w:rPr>
          <w:rFonts w:hint="eastAsia"/>
          <w:b/>
          <w:color w:val="FF0000"/>
          <w:sz w:val="21"/>
          <w:szCs w:val="21"/>
          <w:lang w:val="en-US" w:eastAsia="zh-CN"/>
        </w:rPr>
        <w:t>6</w:t>
      </w:r>
      <w:r>
        <w:rPr>
          <w:rFonts w:hint="eastAsia"/>
          <w:b/>
          <w:color w:val="FF0000"/>
          <w:sz w:val="21"/>
          <w:szCs w:val="21"/>
        </w:rPr>
        <w:t xml:space="preserve">. </w:t>
      </w:r>
      <w:r>
        <w:rPr>
          <w:rFonts w:hint="eastAsia"/>
          <w:b/>
          <w:color w:val="FF0000"/>
          <w:sz w:val="21"/>
          <w:szCs w:val="21"/>
          <w:lang w:val="en-US" w:eastAsia="zh-CN"/>
        </w:rPr>
        <w:t>近三年报名供应商被评定为国家高新技术企业</w:t>
      </w:r>
      <w:r>
        <w:rPr>
          <w:rFonts w:hint="eastAsia"/>
          <w:b/>
          <w:color w:val="FF0000"/>
          <w:sz w:val="21"/>
          <w:szCs w:val="21"/>
        </w:rPr>
        <w:t>；</w:t>
      </w:r>
    </w:p>
    <w:p>
      <w:pPr>
        <w:widowControl/>
        <w:shd w:val="clear" w:color="auto" w:fill="FFFFFF"/>
        <w:spacing w:line="400" w:lineRule="exact"/>
        <w:ind w:firstLine="422" w:firstLineChars="200"/>
        <w:jc w:val="left"/>
        <w:rPr>
          <w:rFonts w:hint="eastAsia"/>
          <w:b/>
          <w:sz w:val="21"/>
          <w:szCs w:val="21"/>
        </w:rPr>
      </w:pPr>
      <w:r>
        <w:rPr>
          <w:rFonts w:hint="eastAsia"/>
          <w:b/>
          <w:sz w:val="21"/>
          <w:szCs w:val="21"/>
          <w:lang w:val="en-US" w:eastAsia="zh-CN"/>
        </w:rPr>
        <w:t>7</w:t>
      </w:r>
      <w:r>
        <w:rPr>
          <w:rFonts w:hint="eastAsia"/>
          <w:b/>
          <w:sz w:val="21"/>
          <w:szCs w:val="21"/>
        </w:rPr>
        <w:t>. 报名供应商必须承担项目施工安全责任，出具施工方案，安全管理制度、岗位责任制和安全操作规程和生产安全事故应急救援预案；，签订安全环保协议，确保项目质量，提供完善的后续服务；</w:t>
      </w:r>
    </w:p>
    <w:p>
      <w:pPr>
        <w:spacing w:line="400" w:lineRule="exact"/>
        <w:ind w:firstLine="480" w:firstLineChars="200"/>
        <w:rPr>
          <w:sz w:val="24"/>
        </w:rPr>
      </w:pPr>
      <w:r>
        <w:rPr>
          <w:rFonts w:hint="eastAsia"/>
          <w:sz w:val="24"/>
        </w:rPr>
        <w:t>3、供应商存在以下不良信用记录情形之一的，不得推荐为成交候选供应商，不得确定为成交供应商：</w:t>
      </w:r>
    </w:p>
    <w:p>
      <w:pPr>
        <w:spacing w:line="400" w:lineRule="exact"/>
        <w:ind w:firstLine="480" w:firstLineChars="200"/>
        <w:rPr>
          <w:sz w:val="24"/>
        </w:rPr>
      </w:pPr>
      <w:r>
        <w:rPr>
          <w:rFonts w:hint="eastAsia"/>
          <w:sz w:val="24"/>
        </w:rPr>
        <w:t>（1）供应商被人民法院列入失信被执行人的；</w:t>
      </w:r>
    </w:p>
    <w:p>
      <w:pPr>
        <w:spacing w:line="400" w:lineRule="exact"/>
        <w:ind w:firstLine="480" w:firstLineChars="200"/>
        <w:rPr>
          <w:sz w:val="24"/>
        </w:rPr>
      </w:pPr>
      <w:r>
        <w:rPr>
          <w:rFonts w:hint="eastAsia"/>
          <w:sz w:val="24"/>
        </w:rPr>
        <w:t>（2）供应商或其法定代表人或拟派项目经理（项目负责人）被人民检察院列入行贿犯罪档案的；</w:t>
      </w:r>
    </w:p>
    <w:p>
      <w:pPr>
        <w:spacing w:line="400" w:lineRule="exact"/>
        <w:ind w:firstLine="480" w:firstLineChars="200"/>
        <w:rPr>
          <w:sz w:val="24"/>
        </w:rPr>
      </w:pPr>
      <w:r>
        <w:rPr>
          <w:rFonts w:hint="eastAsia"/>
          <w:sz w:val="24"/>
        </w:rPr>
        <w:t>（3）供应商被市场监管部门列入企业经营异常名录的；</w:t>
      </w:r>
    </w:p>
    <w:p>
      <w:pPr>
        <w:spacing w:line="400" w:lineRule="exact"/>
        <w:ind w:firstLine="480" w:firstLineChars="200"/>
        <w:rPr>
          <w:sz w:val="24"/>
        </w:rPr>
      </w:pPr>
      <w:r>
        <w:rPr>
          <w:rFonts w:hint="eastAsia"/>
          <w:sz w:val="24"/>
        </w:rPr>
        <w:t>（4）供应商被税务部门列入重大税收违法案件当事人名单的；</w:t>
      </w:r>
    </w:p>
    <w:p>
      <w:pPr>
        <w:spacing w:line="400" w:lineRule="exact"/>
        <w:ind w:firstLine="480" w:firstLineChars="200"/>
        <w:rPr>
          <w:sz w:val="24"/>
        </w:rPr>
      </w:pPr>
      <w:r>
        <w:rPr>
          <w:rFonts w:hint="eastAsia"/>
          <w:sz w:val="24"/>
        </w:rPr>
        <w:t>（5）供应商被政府采购监管部门列入政府采购严重违法失信行为记录名单的。</w:t>
      </w:r>
    </w:p>
    <w:p>
      <w:pPr>
        <w:spacing w:line="400" w:lineRule="exact"/>
        <w:ind w:firstLine="480" w:firstLineChars="200"/>
        <w:rPr>
          <w:sz w:val="24"/>
        </w:rPr>
      </w:pPr>
      <w:r>
        <w:rPr>
          <w:rFonts w:hint="eastAsia"/>
          <w:sz w:val="24"/>
        </w:rPr>
        <w:t>4、本项目不接受联合体投标。</w:t>
      </w:r>
    </w:p>
    <w:p>
      <w:pPr>
        <w:spacing w:line="400" w:lineRule="exact"/>
        <w:ind w:firstLine="482" w:firstLineChars="200"/>
        <w:rPr>
          <w:b/>
          <w:sz w:val="24"/>
        </w:rPr>
      </w:pPr>
      <w:bookmarkStart w:id="5" w:name="_Toc1407341"/>
      <w:bookmarkStart w:id="6" w:name="_Toc2580728"/>
      <w:r>
        <w:rPr>
          <w:rFonts w:hint="eastAsia"/>
          <w:b/>
          <w:sz w:val="24"/>
        </w:rPr>
        <w:t>（二）投标文件构成与要求</w:t>
      </w:r>
    </w:p>
    <w:p>
      <w:pPr>
        <w:spacing w:line="400" w:lineRule="exact"/>
        <w:ind w:firstLine="480" w:firstLineChars="200"/>
        <w:rPr>
          <w:rFonts w:hint="eastAsia"/>
          <w:sz w:val="24"/>
        </w:rPr>
      </w:pPr>
      <w:r>
        <w:rPr>
          <w:rFonts w:hint="eastAsia"/>
          <w:sz w:val="24"/>
        </w:rPr>
        <w:t>1、投标文件构成详见“第三部分 投标文件（样式）”。</w:t>
      </w:r>
    </w:p>
    <w:p>
      <w:pPr>
        <w:spacing w:line="400" w:lineRule="exact"/>
        <w:ind w:firstLine="600" w:firstLineChars="250"/>
        <w:rPr>
          <w:rFonts w:hint="eastAsia"/>
          <w:sz w:val="24"/>
        </w:rPr>
      </w:pPr>
      <w:r>
        <w:rPr>
          <w:rFonts w:hint="eastAsia"/>
          <w:sz w:val="24"/>
        </w:rPr>
        <w:t>投标人必须提交以下文件资料：</w:t>
      </w:r>
    </w:p>
    <w:p>
      <w:pPr>
        <w:spacing w:line="400" w:lineRule="exact"/>
        <w:ind w:firstLine="480" w:firstLineChars="200"/>
        <w:rPr>
          <w:rFonts w:hint="eastAsia"/>
          <w:sz w:val="24"/>
        </w:rPr>
      </w:pPr>
      <w:r>
        <w:rPr>
          <w:rFonts w:hint="eastAsia"/>
          <w:sz w:val="24"/>
        </w:rPr>
        <w:t>（1）投标承诺书</w:t>
      </w:r>
    </w:p>
    <w:p>
      <w:pPr>
        <w:spacing w:line="400" w:lineRule="exact"/>
        <w:ind w:firstLine="480" w:firstLineChars="200"/>
        <w:rPr>
          <w:rFonts w:hint="eastAsia"/>
          <w:sz w:val="24"/>
        </w:rPr>
      </w:pPr>
      <w:r>
        <w:rPr>
          <w:rFonts w:hint="eastAsia"/>
          <w:sz w:val="24"/>
        </w:rPr>
        <w:t>（2）投标报价表（价格采用人民币报价）；</w:t>
      </w:r>
    </w:p>
    <w:p>
      <w:pPr>
        <w:spacing w:line="400" w:lineRule="exact"/>
        <w:ind w:firstLine="480" w:firstLineChars="200"/>
        <w:rPr>
          <w:rFonts w:hint="eastAsia"/>
          <w:sz w:val="24"/>
        </w:rPr>
      </w:pPr>
      <w:r>
        <w:rPr>
          <w:rFonts w:hint="eastAsia"/>
          <w:sz w:val="24"/>
        </w:rPr>
        <w:t xml:space="preserve">（3）投标人提供有效的企业法人营业执照、组织结构代码证、税务登记证，若投标人已办理三证合一，提供加载统一社会信用代码的营业执照（复印件盖章），无须再提供税务登记证书和组织机构代码证； </w:t>
      </w:r>
    </w:p>
    <w:p>
      <w:pPr>
        <w:spacing w:line="400" w:lineRule="exact"/>
        <w:ind w:firstLine="480" w:firstLineChars="200"/>
        <w:rPr>
          <w:rFonts w:hint="eastAsia"/>
          <w:sz w:val="24"/>
        </w:rPr>
      </w:pPr>
      <w:r>
        <w:rPr>
          <w:rFonts w:hint="eastAsia"/>
          <w:sz w:val="24"/>
        </w:rPr>
        <w:t xml:space="preserve">（4）法定代表人授权书（原件）； </w:t>
      </w:r>
    </w:p>
    <w:p>
      <w:pPr>
        <w:spacing w:line="400" w:lineRule="exact"/>
        <w:ind w:firstLine="480" w:firstLineChars="200"/>
        <w:rPr>
          <w:rFonts w:hint="eastAsia"/>
          <w:sz w:val="24"/>
        </w:rPr>
      </w:pPr>
      <w:r>
        <w:rPr>
          <w:rFonts w:hint="eastAsia"/>
          <w:sz w:val="24"/>
        </w:rPr>
        <w:t>（5）授权代表身份证（复印件盖章）；</w:t>
      </w:r>
    </w:p>
    <w:p>
      <w:pPr>
        <w:spacing w:line="400" w:lineRule="exact"/>
        <w:ind w:firstLine="480" w:firstLineChars="200"/>
        <w:rPr>
          <w:rFonts w:hint="eastAsia" w:eastAsia="宋体"/>
          <w:sz w:val="24"/>
          <w:lang w:eastAsia="zh-CN"/>
        </w:rPr>
      </w:pPr>
      <w:r>
        <w:rPr>
          <w:rFonts w:hint="eastAsia"/>
          <w:sz w:val="24"/>
          <w:lang w:eastAsia="zh-CN"/>
        </w:rPr>
        <w:t>（</w:t>
      </w:r>
      <w:r>
        <w:rPr>
          <w:rFonts w:hint="eastAsia"/>
          <w:sz w:val="24"/>
          <w:lang w:val="en-US" w:eastAsia="zh-CN"/>
        </w:rPr>
        <w:t>6</w:t>
      </w:r>
      <w:r>
        <w:rPr>
          <w:rFonts w:hint="eastAsia"/>
          <w:sz w:val="24"/>
          <w:lang w:eastAsia="zh-CN"/>
        </w:rPr>
        <w:t>）提供</w:t>
      </w:r>
      <w:r>
        <w:rPr>
          <w:rFonts w:hint="eastAsia"/>
          <w:sz w:val="24"/>
        </w:rPr>
        <w:t>本项目具体要求</w:t>
      </w:r>
      <w:r>
        <w:rPr>
          <w:rFonts w:hint="eastAsia"/>
          <w:sz w:val="24"/>
          <w:lang w:eastAsia="zh-CN"/>
        </w:rPr>
        <w:t>的其他所有资料</w:t>
      </w:r>
    </w:p>
    <w:p>
      <w:pPr>
        <w:spacing w:line="400" w:lineRule="exact"/>
        <w:ind w:firstLine="480" w:firstLineChars="200"/>
        <w:rPr>
          <w:sz w:val="24"/>
        </w:rPr>
      </w:pPr>
      <w:r>
        <w:rPr>
          <w:rFonts w:hint="eastAsia"/>
          <w:sz w:val="24"/>
        </w:rPr>
        <w:t>2、投标文件要求：</w:t>
      </w:r>
    </w:p>
    <w:p>
      <w:pPr>
        <w:spacing w:line="400" w:lineRule="exact"/>
        <w:ind w:firstLine="480" w:firstLineChars="200"/>
        <w:rPr>
          <w:sz w:val="24"/>
        </w:rPr>
      </w:pPr>
      <w:r>
        <w:rPr>
          <w:rFonts w:hint="eastAsia"/>
          <w:sz w:val="24"/>
        </w:rPr>
        <w:t>（1）投标文件是对招标文件的实质性响应及承诺文件，除非注明“投标供应商可自行制作格式”，投标文件应使用招标文件提供的格式。投标文件应字迹清楚、编排有序、内容齐全、不得涂改或增删。如有错漏处必须修改，应在修改处加盖投标供应商公章（或电子签章）。</w:t>
      </w:r>
    </w:p>
    <w:p>
      <w:pPr>
        <w:spacing w:line="400" w:lineRule="exact"/>
        <w:ind w:firstLine="480" w:firstLineChars="200"/>
        <w:rPr>
          <w:sz w:val="24"/>
        </w:rPr>
      </w:pPr>
      <w:r>
        <w:rPr>
          <w:rFonts w:hint="eastAsia"/>
          <w:sz w:val="24"/>
        </w:rPr>
        <w:t>（2）除非招标文件另有规定，投标文件应使用中华人民共和国法定计量单位，使用人民币填报所有报价且每一包只允许有一个最终报价，任何有选择的报价或替代方案将导致投标无效。</w:t>
      </w:r>
    </w:p>
    <w:p>
      <w:pPr>
        <w:spacing w:line="400" w:lineRule="exact"/>
        <w:ind w:firstLine="480" w:firstLineChars="200"/>
        <w:rPr>
          <w:sz w:val="24"/>
        </w:rPr>
      </w:pPr>
      <w:r>
        <w:rPr>
          <w:rFonts w:hint="eastAsia"/>
          <w:sz w:val="24"/>
        </w:rPr>
        <w:t>（3）投标供应商资质证书（或资格证明）处于年检、换证、升级、变更等期间，除非有法律法规或发证机构书面材料明确表明投标供应商资质（或资格）有效，否则一律不予认可。</w:t>
      </w:r>
    </w:p>
    <w:p>
      <w:pPr>
        <w:spacing w:line="400" w:lineRule="exact"/>
        <w:ind w:firstLine="480" w:firstLineChars="200"/>
        <w:rPr>
          <w:sz w:val="24"/>
        </w:rPr>
      </w:pPr>
      <w:r>
        <w:rPr>
          <w:rFonts w:hint="eastAsia"/>
          <w:sz w:val="24"/>
        </w:rPr>
        <w:t>（4）投标文件中提供的复印件资料需有原件备查；投标文件装订成册，第一页为封面，包括投标项目名称及编号、投标公司名称、联系方式（手机电话、邮箱）等，第二页为投标文件资料目录，请依据文件材料的装订顺序制作目录，每页有与目录相对应的页码；</w:t>
      </w:r>
    </w:p>
    <w:p>
      <w:pPr>
        <w:spacing w:line="400" w:lineRule="exact"/>
        <w:ind w:firstLine="480" w:firstLineChars="200"/>
        <w:rPr>
          <w:sz w:val="24"/>
        </w:rPr>
      </w:pPr>
      <w:r>
        <w:rPr>
          <w:rFonts w:hint="eastAsia"/>
          <w:sz w:val="24"/>
        </w:rPr>
        <w:t>（5）投标文件正本须打印并由授权代表签字、盖章生效；副本可由正本复印制作。要求正本1份，副本</w:t>
      </w:r>
      <w:r>
        <w:rPr>
          <w:rFonts w:hint="eastAsia"/>
          <w:sz w:val="24"/>
          <w:lang w:val="en-US" w:eastAsia="zh-CN"/>
        </w:rPr>
        <w:t>1</w:t>
      </w:r>
      <w:r>
        <w:rPr>
          <w:rFonts w:hint="eastAsia"/>
          <w:sz w:val="24"/>
        </w:rPr>
        <w:t>份，注明“正本”或“副本”字样。有效性正本＞副本。投标文件要求信封密封，加盖骑缝章，并必须标明投标项目名称、项目编号、联系人、联系手机等信息。投标文件资料不予退还；</w:t>
      </w:r>
    </w:p>
    <w:p>
      <w:pPr>
        <w:spacing w:line="400" w:lineRule="exact"/>
        <w:ind w:firstLine="480" w:firstLineChars="200"/>
        <w:rPr>
          <w:sz w:val="24"/>
        </w:rPr>
      </w:pPr>
      <w:r>
        <w:rPr>
          <w:rFonts w:hint="eastAsia"/>
          <w:sz w:val="24"/>
        </w:rPr>
        <w:t>（6）本项目采取资格后审。上述资料的审核将在开标后由评标评审小组负责执行，资格后审不合格的投标人，其投标被否决；</w:t>
      </w:r>
    </w:p>
    <w:p>
      <w:pPr>
        <w:spacing w:line="400" w:lineRule="exact"/>
        <w:ind w:firstLine="480" w:firstLineChars="200"/>
        <w:rPr>
          <w:sz w:val="24"/>
        </w:rPr>
      </w:pPr>
      <w:r>
        <w:rPr>
          <w:rFonts w:hint="eastAsia"/>
          <w:sz w:val="24"/>
        </w:rPr>
        <w:t>（7）</w:t>
      </w:r>
      <w:r>
        <w:rPr>
          <w:sz w:val="24"/>
        </w:rPr>
        <w:t>如发现</w:t>
      </w:r>
      <w:r>
        <w:rPr>
          <w:rFonts w:hint="eastAsia"/>
          <w:sz w:val="24"/>
        </w:rPr>
        <w:t>投标</w:t>
      </w:r>
      <w:r>
        <w:rPr>
          <w:sz w:val="24"/>
        </w:rPr>
        <w:t>人有提供虚假材料的情况，将取消其</w:t>
      </w:r>
      <w:r>
        <w:rPr>
          <w:rFonts w:hint="eastAsia"/>
          <w:sz w:val="24"/>
        </w:rPr>
        <w:t>投标</w:t>
      </w:r>
      <w:r>
        <w:rPr>
          <w:sz w:val="24"/>
        </w:rPr>
        <w:t>资格。</w:t>
      </w:r>
      <w:r>
        <w:rPr>
          <w:rFonts w:hint="eastAsia"/>
          <w:sz w:val="24"/>
        </w:rPr>
        <w:t>情节严重的，报管理部门按有关规定严肃处理。</w:t>
      </w:r>
    </w:p>
    <w:p>
      <w:pPr>
        <w:spacing w:line="400" w:lineRule="exact"/>
        <w:ind w:firstLine="482" w:firstLineChars="200"/>
        <w:rPr>
          <w:b/>
          <w:color w:val="000000"/>
          <w:sz w:val="24"/>
        </w:rPr>
      </w:pPr>
      <w:r>
        <w:rPr>
          <w:rFonts w:hint="eastAsia"/>
          <w:b/>
          <w:color w:val="000000"/>
          <w:sz w:val="24"/>
        </w:rPr>
        <w:t>（三）开标时，如招标文件有变动，招标人应当通知所有投标人。如实际符合招标要求的投标人未达到规定数量，招标人有权将招标转为竞争性谈判。</w:t>
      </w:r>
    </w:p>
    <w:p>
      <w:pPr>
        <w:spacing w:line="400" w:lineRule="exact"/>
        <w:ind w:firstLine="482" w:firstLineChars="200"/>
        <w:rPr>
          <w:b/>
          <w:sz w:val="24"/>
        </w:rPr>
      </w:pPr>
      <w:r>
        <w:rPr>
          <w:rFonts w:hint="eastAsia"/>
          <w:b/>
          <w:sz w:val="24"/>
        </w:rPr>
        <w:t>（四）评标方法</w:t>
      </w:r>
      <w:bookmarkEnd w:id="5"/>
      <w:bookmarkEnd w:id="6"/>
    </w:p>
    <w:p>
      <w:pPr>
        <w:spacing w:line="400" w:lineRule="exact"/>
        <w:ind w:firstLine="480" w:firstLineChars="200"/>
        <w:rPr>
          <w:sz w:val="24"/>
        </w:rPr>
      </w:pPr>
      <w:bookmarkStart w:id="7" w:name="_Toc509745130"/>
      <w:bookmarkStart w:id="8" w:name="_Toc509743731"/>
      <w:r>
        <w:rPr>
          <w:rFonts w:hint="eastAsia"/>
          <w:sz w:val="24"/>
        </w:rPr>
        <w:t>1、评标方法：</w:t>
      </w:r>
    </w:p>
    <w:p>
      <w:pPr>
        <w:spacing w:line="400" w:lineRule="exact"/>
        <w:ind w:firstLine="480" w:firstLineChars="200"/>
        <w:rPr>
          <w:sz w:val="24"/>
        </w:rPr>
      </w:pPr>
      <w:r>
        <w:rPr>
          <w:rFonts w:hint="eastAsia"/>
          <w:sz w:val="24"/>
        </w:rPr>
        <w:t>本采购项目综合评分评审方法。</w:t>
      </w:r>
    </w:p>
    <w:p>
      <w:pPr>
        <w:spacing w:line="380" w:lineRule="exact"/>
        <w:ind w:firstLine="480" w:firstLineChars="200"/>
        <w:rPr>
          <w:sz w:val="24"/>
        </w:rPr>
      </w:pPr>
      <w:r>
        <w:rPr>
          <w:rFonts w:hint="eastAsia"/>
          <w:sz w:val="24"/>
        </w:rPr>
        <w:t>2、综合评审程序</w:t>
      </w:r>
    </w:p>
    <w:p>
      <w:pPr>
        <w:spacing w:line="380" w:lineRule="exact"/>
        <w:ind w:firstLine="480" w:firstLineChars="200"/>
        <w:rPr>
          <w:sz w:val="24"/>
        </w:rPr>
      </w:pPr>
      <w:r>
        <w:rPr>
          <w:rFonts w:hint="eastAsia"/>
          <w:sz w:val="24"/>
        </w:rPr>
        <w:t>（1）组建评审小组与符合条件的投标人就采购事宜进行磋商，评审小组综合评审后提出中标人。</w:t>
      </w:r>
    </w:p>
    <w:p>
      <w:pPr>
        <w:spacing w:line="380" w:lineRule="exact"/>
        <w:ind w:firstLine="480" w:firstLineChars="200"/>
        <w:rPr>
          <w:sz w:val="24"/>
        </w:rPr>
      </w:pPr>
      <w:r>
        <w:rPr>
          <w:rFonts w:hint="eastAsia"/>
          <w:sz w:val="24"/>
        </w:rPr>
        <w:t>（2）采取1次报价。</w:t>
      </w:r>
    </w:p>
    <w:p>
      <w:pPr>
        <w:spacing w:line="380" w:lineRule="exact"/>
        <w:ind w:firstLine="480" w:firstLineChars="200"/>
        <w:rPr>
          <w:sz w:val="24"/>
        </w:rPr>
      </w:pPr>
      <w:r>
        <w:rPr>
          <w:rFonts w:hint="eastAsia"/>
          <w:sz w:val="24"/>
        </w:rPr>
        <w:t>3、投标说明</w:t>
      </w:r>
    </w:p>
    <w:p>
      <w:pPr>
        <w:spacing w:line="380" w:lineRule="exact"/>
        <w:ind w:firstLine="480" w:firstLineChars="200"/>
        <w:rPr>
          <w:sz w:val="24"/>
        </w:rPr>
      </w:pPr>
      <w:r>
        <w:rPr>
          <w:rFonts w:hint="eastAsia"/>
          <w:sz w:val="24"/>
        </w:rPr>
        <w:t>（1）投标人须注明所提供货物服务与招标要求响应情况，标注有无偏离，如有偏离应作说明；</w:t>
      </w:r>
    </w:p>
    <w:p>
      <w:pPr>
        <w:spacing w:line="380" w:lineRule="exact"/>
        <w:ind w:firstLine="480" w:firstLineChars="200"/>
        <w:rPr>
          <w:sz w:val="24"/>
        </w:rPr>
      </w:pPr>
      <w:r>
        <w:rPr>
          <w:rFonts w:hint="eastAsia"/>
          <w:sz w:val="24"/>
        </w:rPr>
        <w:t>（2）须提供质量保证及售后服务承诺；</w:t>
      </w:r>
    </w:p>
    <w:p>
      <w:pPr>
        <w:spacing w:line="380" w:lineRule="exact"/>
        <w:ind w:firstLine="480" w:firstLineChars="200"/>
        <w:rPr>
          <w:sz w:val="24"/>
        </w:rPr>
      </w:pPr>
      <w:r>
        <w:rPr>
          <w:rFonts w:hint="eastAsia"/>
          <w:sz w:val="24"/>
        </w:rPr>
        <w:t>（3） 提供和招标要求一致的相似案例的采购合同。</w:t>
      </w:r>
    </w:p>
    <w:p>
      <w:pPr>
        <w:spacing w:line="380" w:lineRule="exact"/>
        <w:ind w:firstLine="480" w:firstLineChars="200"/>
        <w:rPr>
          <w:sz w:val="24"/>
        </w:rPr>
      </w:pPr>
      <w:r>
        <w:rPr>
          <w:rFonts w:hint="eastAsia"/>
          <w:sz w:val="24"/>
        </w:rPr>
        <w:t>4、评审标准</w:t>
      </w:r>
    </w:p>
    <w:p>
      <w:pPr>
        <w:spacing w:line="380" w:lineRule="exact"/>
        <w:ind w:firstLine="480" w:firstLineChars="200"/>
        <w:rPr>
          <w:sz w:val="24"/>
        </w:rPr>
      </w:pPr>
      <w:r>
        <w:rPr>
          <w:rFonts w:hint="eastAsia"/>
          <w:sz w:val="24"/>
        </w:rPr>
        <w:t>采用综合评分法。投标文件满足招标文件全部实质性要求，且按价格、技术参数、使用效果、质量品牌、市场、质保、售后服务等评审因素的量化指标评审，得分最高的供应商为成交候选供应商。</w:t>
      </w:r>
    </w:p>
    <w:p>
      <w:pPr>
        <w:spacing w:line="380" w:lineRule="exact"/>
        <w:rPr>
          <w:sz w:val="24"/>
        </w:rPr>
      </w:pPr>
    </w:p>
    <w:p>
      <w:pPr>
        <w:spacing w:line="380" w:lineRule="exact"/>
        <w:ind w:firstLine="723" w:firstLineChars="200"/>
        <w:jc w:val="center"/>
        <w:rPr>
          <w:rFonts w:ascii="宋体" w:hAnsi="宋体"/>
          <w:b/>
          <w:sz w:val="36"/>
          <w:szCs w:val="28"/>
        </w:rPr>
      </w:pPr>
      <w:r>
        <w:rPr>
          <w:rFonts w:hint="eastAsia" w:ascii="宋体" w:hAnsi="宋体"/>
          <w:b/>
          <w:sz w:val="36"/>
          <w:szCs w:val="28"/>
        </w:rPr>
        <w:t>综合评分表</w:t>
      </w:r>
    </w:p>
    <w:p>
      <w:pPr>
        <w:numPr>
          <w:ilvl w:val="0"/>
          <w:numId w:val="0"/>
        </w:numPr>
        <w:spacing w:line="360" w:lineRule="auto"/>
        <w:rPr>
          <w:rFonts w:hint="eastAsia" w:ascii="仿宋" w:hAnsi="仿宋" w:eastAsia="仿宋" w:cs="仿宋"/>
          <w:b/>
          <w:bCs/>
          <w:color w:val="auto"/>
          <w:kern w:val="0"/>
          <w:sz w:val="24"/>
          <w:szCs w:val="24"/>
          <w:lang w:val="en-US" w:eastAsia="zh-CN"/>
        </w:rPr>
      </w:pPr>
      <w:r>
        <w:rPr>
          <w:rFonts w:hint="eastAsia" w:ascii="仿宋" w:hAnsi="仿宋" w:eastAsia="仿宋" w:cs="仿宋"/>
          <w:sz w:val="24"/>
          <w:szCs w:val="24"/>
          <w:lang w:val="en-US" w:eastAsia="zh-CN"/>
        </w:rPr>
        <w:t>本项目评标采用综合评分的方式，总分值为100分。</w:t>
      </w:r>
    </w:p>
    <w:tbl>
      <w:tblPr>
        <w:tblStyle w:val="16"/>
        <w:tblW w:w="8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031"/>
        <w:gridCol w:w="2345"/>
        <w:gridCol w:w="4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gridSpan w:val="2"/>
            <w:vAlign w:val="top"/>
          </w:tcPr>
          <w:p>
            <w:pPr>
              <w:widowControl w:val="0"/>
              <w:numPr>
                <w:ilvl w:val="0"/>
                <w:numId w:val="0"/>
              </w:numPr>
              <w:tabs>
                <w:tab w:val="left" w:pos="0"/>
                <w:tab w:val="left" w:pos="712"/>
                <w:tab w:val="left" w:pos="1440"/>
              </w:tabs>
              <w:autoSpaceDE w:val="0"/>
              <w:autoSpaceDN w:val="0"/>
              <w:spacing w:line="560" w:lineRule="exact"/>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条款号</w:t>
            </w:r>
          </w:p>
        </w:tc>
        <w:tc>
          <w:tcPr>
            <w:tcW w:w="2345" w:type="dxa"/>
            <w:vAlign w:val="top"/>
          </w:tcPr>
          <w:p>
            <w:pPr>
              <w:widowControl w:val="0"/>
              <w:numPr>
                <w:ilvl w:val="0"/>
                <w:numId w:val="0"/>
              </w:numPr>
              <w:tabs>
                <w:tab w:val="left" w:pos="0"/>
                <w:tab w:val="left" w:pos="712"/>
                <w:tab w:val="left" w:pos="1440"/>
              </w:tabs>
              <w:autoSpaceDE w:val="0"/>
              <w:autoSpaceDN w:val="0"/>
              <w:spacing w:line="560" w:lineRule="exact"/>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评审因素</w:t>
            </w:r>
          </w:p>
        </w:tc>
        <w:tc>
          <w:tcPr>
            <w:tcW w:w="4158" w:type="dxa"/>
            <w:vAlign w:val="top"/>
          </w:tcPr>
          <w:p>
            <w:pPr>
              <w:widowControl w:val="0"/>
              <w:numPr>
                <w:ilvl w:val="0"/>
                <w:numId w:val="0"/>
              </w:numPr>
              <w:tabs>
                <w:tab w:val="left" w:pos="0"/>
                <w:tab w:val="left" w:pos="712"/>
                <w:tab w:val="left" w:pos="1440"/>
              </w:tabs>
              <w:autoSpaceDE w:val="0"/>
              <w:autoSpaceDN w:val="0"/>
              <w:spacing w:line="560" w:lineRule="exact"/>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88" w:type="dxa"/>
            <w:vMerge w:val="restart"/>
            <w:vAlign w:val="top"/>
          </w:tcPr>
          <w:p>
            <w:pPr>
              <w:widowControl w:val="0"/>
              <w:numPr>
                <w:ilvl w:val="0"/>
                <w:numId w:val="0"/>
              </w:numPr>
              <w:tabs>
                <w:tab w:val="left" w:pos="0"/>
                <w:tab w:val="left" w:pos="712"/>
                <w:tab w:val="left" w:pos="1440"/>
              </w:tabs>
              <w:autoSpaceDE w:val="0"/>
              <w:autoSpaceDN w:val="0"/>
              <w:spacing w:line="560" w:lineRule="exact"/>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031" w:type="dxa"/>
            <w:vMerge w:val="restart"/>
            <w:vAlign w:val="top"/>
          </w:tcPr>
          <w:p>
            <w:pPr>
              <w:widowControl w:val="0"/>
              <w:numPr>
                <w:ilvl w:val="0"/>
                <w:numId w:val="0"/>
              </w:numPr>
              <w:tabs>
                <w:tab w:val="left" w:pos="0"/>
                <w:tab w:val="left" w:pos="712"/>
                <w:tab w:val="left" w:pos="1440"/>
              </w:tabs>
              <w:autoSpaceDE w:val="0"/>
              <w:autoSpaceDN w:val="0"/>
              <w:spacing w:line="560" w:lineRule="exact"/>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资格评 审</w:t>
            </w:r>
          </w:p>
        </w:tc>
        <w:tc>
          <w:tcPr>
            <w:tcW w:w="2345" w:type="dxa"/>
            <w:vAlign w:val="top"/>
          </w:tcPr>
          <w:p>
            <w:pPr>
              <w:widowControl w:val="0"/>
              <w:numPr>
                <w:ilvl w:val="0"/>
                <w:numId w:val="0"/>
              </w:numPr>
              <w:tabs>
                <w:tab w:val="left" w:pos="0"/>
                <w:tab w:val="left" w:pos="712"/>
                <w:tab w:val="left" w:pos="1440"/>
              </w:tabs>
              <w:autoSpaceDE w:val="0"/>
              <w:autoSpaceDN w:val="0"/>
              <w:spacing w:line="560" w:lineRule="exact"/>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营业执照</w:t>
            </w:r>
          </w:p>
        </w:tc>
        <w:tc>
          <w:tcPr>
            <w:tcW w:w="4158" w:type="dxa"/>
            <w:vAlign w:val="top"/>
          </w:tcPr>
          <w:p>
            <w:pPr>
              <w:widowControl w:val="0"/>
              <w:numPr>
                <w:ilvl w:val="0"/>
                <w:numId w:val="0"/>
              </w:numPr>
              <w:tabs>
                <w:tab w:val="left" w:pos="0"/>
                <w:tab w:val="left" w:pos="712"/>
                <w:tab w:val="left" w:pos="1440"/>
              </w:tabs>
              <w:autoSpaceDE w:val="0"/>
              <w:autoSpaceDN w:val="0"/>
              <w:spacing w:line="560" w:lineRule="exact"/>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提供营业执照并满足要求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88" w:type="dxa"/>
            <w:vMerge w:val="continue"/>
            <w:vAlign w:val="top"/>
          </w:tcPr>
          <w:p>
            <w:pPr>
              <w:widowControl w:val="0"/>
              <w:numPr>
                <w:ilvl w:val="0"/>
                <w:numId w:val="0"/>
              </w:numPr>
              <w:tabs>
                <w:tab w:val="left" w:pos="0"/>
                <w:tab w:val="left" w:pos="712"/>
                <w:tab w:val="left" w:pos="1440"/>
              </w:tabs>
              <w:autoSpaceDE w:val="0"/>
              <w:autoSpaceDN w:val="0"/>
              <w:spacing w:line="560" w:lineRule="exact"/>
              <w:ind w:left="0" w:leftChars="0" w:firstLine="0" w:firstLineChars="0"/>
              <w:rPr>
                <w:rFonts w:hint="eastAsia" w:ascii="仿宋" w:hAnsi="仿宋" w:eastAsia="仿宋" w:cs="仿宋"/>
                <w:sz w:val="24"/>
                <w:szCs w:val="24"/>
                <w:lang w:val="en-US" w:eastAsia="zh-CN"/>
              </w:rPr>
            </w:pPr>
          </w:p>
        </w:tc>
        <w:tc>
          <w:tcPr>
            <w:tcW w:w="1031" w:type="dxa"/>
            <w:vMerge w:val="continue"/>
            <w:vAlign w:val="top"/>
          </w:tcPr>
          <w:p>
            <w:pPr>
              <w:widowControl w:val="0"/>
              <w:numPr>
                <w:ilvl w:val="0"/>
                <w:numId w:val="0"/>
              </w:numPr>
              <w:tabs>
                <w:tab w:val="left" w:pos="0"/>
                <w:tab w:val="left" w:pos="712"/>
                <w:tab w:val="left" w:pos="1440"/>
              </w:tabs>
              <w:autoSpaceDE w:val="0"/>
              <w:autoSpaceDN w:val="0"/>
              <w:spacing w:line="560" w:lineRule="exact"/>
              <w:ind w:left="0" w:leftChars="0" w:firstLine="0" w:firstLineChars="0"/>
              <w:rPr>
                <w:rFonts w:hint="eastAsia" w:ascii="仿宋" w:hAnsi="仿宋" w:eastAsia="仿宋" w:cs="仿宋"/>
                <w:sz w:val="24"/>
                <w:szCs w:val="24"/>
                <w:lang w:val="en-US" w:eastAsia="zh-CN"/>
              </w:rPr>
            </w:pPr>
          </w:p>
        </w:tc>
        <w:tc>
          <w:tcPr>
            <w:tcW w:w="2345" w:type="dxa"/>
            <w:vAlign w:val="top"/>
          </w:tcPr>
          <w:p>
            <w:pPr>
              <w:widowControl w:val="0"/>
              <w:numPr>
                <w:ilvl w:val="0"/>
                <w:numId w:val="0"/>
              </w:numPr>
              <w:tabs>
                <w:tab w:val="left" w:pos="0"/>
                <w:tab w:val="left" w:pos="712"/>
                <w:tab w:val="left" w:pos="1440"/>
              </w:tabs>
              <w:autoSpaceDE w:val="0"/>
              <w:autoSpaceDN w:val="0"/>
              <w:spacing w:line="560" w:lineRule="exact"/>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资质要求</w:t>
            </w:r>
          </w:p>
        </w:tc>
        <w:tc>
          <w:tcPr>
            <w:tcW w:w="4158" w:type="dxa"/>
            <w:vAlign w:val="top"/>
          </w:tcPr>
          <w:p>
            <w:pPr>
              <w:widowControl w:val="0"/>
              <w:numPr>
                <w:ilvl w:val="0"/>
                <w:numId w:val="0"/>
              </w:numPr>
              <w:tabs>
                <w:tab w:val="left" w:pos="0"/>
                <w:tab w:val="left" w:pos="712"/>
                <w:tab w:val="left" w:pos="1440"/>
              </w:tabs>
              <w:autoSpaceDE w:val="0"/>
              <w:autoSpaceDN w:val="0"/>
              <w:spacing w:line="560" w:lineRule="exact"/>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提供资质证书并满足要求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1088" w:type="dxa"/>
            <w:vAlign w:val="top"/>
          </w:tcPr>
          <w:p>
            <w:pPr>
              <w:widowControl w:val="0"/>
              <w:numPr>
                <w:ilvl w:val="0"/>
                <w:numId w:val="0"/>
              </w:numPr>
              <w:tabs>
                <w:tab w:val="left" w:pos="0"/>
                <w:tab w:val="left" w:pos="712"/>
                <w:tab w:val="left" w:pos="1440"/>
              </w:tabs>
              <w:autoSpaceDE w:val="0"/>
              <w:autoSpaceDN w:val="0"/>
              <w:spacing w:line="560" w:lineRule="exact"/>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31" w:type="dxa"/>
            <w:vAlign w:val="top"/>
          </w:tcPr>
          <w:p>
            <w:pPr>
              <w:widowControl w:val="0"/>
              <w:numPr>
                <w:ilvl w:val="0"/>
                <w:numId w:val="0"/>
              </w:numPr>
              <w:tabs>
                <w:tab w:val="left" w:pos="0"/>
                <w:tab w:val="left" w:pos="712"/>
                <w:tab w:val="left" w:pos="1440"/>
              </w:tabs>
              <w:autoSpaceDE w:val="0"/>
              <w:autoSpaceDN w:val="0"/>
              <w:spacing w:line="560" w:lineRule="exact"/>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技术部 分</w:t>
            </w:r>
          </w:p>
        </w:tc>
        <w:tc>
          <w:tcPr>
            <w:tcW w:w="2345" w:type="dxa"/>
            <w:vAlign w:val="top"/>
          </w:tcPr>
          <w:p>
            <w:pPr>
              <w:widowControl w:val="0"/>
              <w:numPr>
                <w:ilvl w:val="0"/>
                <w:numId w:val="0"/>
              </w:numPr>
              <w:tabs>
                <w:tab w:val="left" w:pos="0"/>
                <w:tab w:val="left" w:pos="712"/>
                <w:tab w:val="left" w:pos="1440"/>
              </w:tabs>
              <w:autoSpaceDE w:val="0"/>
              <w:autoSpaceDN w:val="0"/>
              <w:spacing w:line="560" w:lineRule="exact"/>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服务要求（50分）</w:t>
            </w:r>
          </w:p>
        </w:tc>
        <w:tc>
          <w:tcPr>
            <w:tcW w:w="4158" w:type="dxa"/>
            <w:vAlign w:val="top"/>
          </w:tcPr>
          <w:p>
            <w:pPr>
              <w:widowControl w:val="0"/>
              <w:numPr>
                <w:ilvl w:val="0"/>
                <w:numId w:val="0"/>
              </w:numPr>
              <w:tabs>
                <w:tab w:val="left" w:pos="0"/>
                <w:tab w:val="left" w:pos="712"/>
                <w:tab w:val="left" w:pos="1440"/>
              </w:tabs>
              <w:autoSpaceDE w:val="0"/>
              <w:autoSpaceDN w:val="0"/>
              <w:spacing w:line="560" w:lineRule="exact"/>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全部响应询比邀请函服务要求得50分，一项不满足或偏离扣10分，全部不满足得分0分。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restart"/>
            <w:vAlign w:val="top"/>
          </w:tcPr>
          <w:p>
            <w:pPr>
              <w:widowControl w:val="0"/>
              <w:numPr>
                <w:ilvl w:val="0"/>
                <w:numId w:val="0"/>
              </w:numPr>
              <w:tabs>
                <w:tab w:val="left" w:pos="0"/>
                <w:tab w:val="left" w:pos="712"/>
                <w:tab w:val="left" w:pos="1440"/>
              </w:tabs>
              <w:autoSpaceDE w:val="0"/>
              <w:autoSpaceDN w:val="0"/>
              <w:spacing w:line="560" w:lineRule="exact"/>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31" w:type="dxa"/>
            <w:vMerge w:val="restart"/>
            <w:vAlign w:val="top"/>
          </w:tcPr>
          <w:p>
            <w:pPr>
              <w:widowControl w:val="0"/>
              <w:numPr>
                <w:ilvl w:val="0"/>
                <w:numId w:val="0"/>
              </w:numPr>
              <w:tabs>
                <w:tab w:val="left" w:pos="0"/>
                <w:tab w:val="left" w:pos="712"/>
                <w:tab w:val="left" w:pos="1440"/>
              </w:tabs>
              <w:autoSpaceDE w:val="0"/>
              <w:autoSpaceDN w:val="0"/>
              <w:spacing w:line="560" w:lineRule="exact"/>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价格部 分</w:t>
            </w:r>
          </w:p>
        </w:tc>
        <w:tc>
          <w:tcPr>
            <w:tcW w:w="2345" w:type="dxa"/>
            <w:vAlign w:val="top"/>
          </w:tcPr>
          <w:p>
            <w:pPr>
              <w:widowControl w:val="0"/>
              <w:numPr>
                <w:ilvl w:val="0"/>
                <w:numId w:val="0"/>
              </w:numPr>
              <w:tabs>
                <w:tab w:val="left" w:pos="0"/>
                <w:tab w:val="left" w:pos="712"/>
                <w:tab w:val="left" w:pos="1440"/>
              </w:tabs>
              <w:autoSpaceDE w:val="0"/>
              <w:autoSpaceDN w:val="0"/>
              <w:spacing w:line="560" w:lineRule="exact"/>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报价合理性（10分）</w:t>
            </w:r>
          </w:p>
        </w:tc>
        <w:tc>
          <w:tcPr>
            <w:tcW w:w="4158" w:type="dxa"/>
            <w:vAlign w:val="top"/>
          </w:tcPr>
          <w:p>
            <w:pPr>
              <w:widowControl w:val="0"/>
              <w:numPr>
                <w:ilvl w:val="0"/>
                <w:numId w:val="0"/>
              </w:numPr>
              <w:tabs>
                <w:tab w:val="left" w:pos="0"/>
                <w:tab w:val="left" w:pos="712"/>
                <w:tab w:val="left" w:pos="1440"/>
              </w:tabs>
              <w:autoSpaceDE w:val="0"/>
              <w:autoSpaceDN w:val="0"/>
              <w:spacing w:line="560" w:lineRule="exact"/>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根据报价单分项报价合理性得0-10分；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Merge w:val="continue"/>
            <w:vAlign w:val="top"/>
          </w:tcPr>
          <w:p>
            <w:pPr>
              <w:widowControl w:val="0"/>
              <w:numPr>
                <w:ilvl w:val="0"/>
                <w:numId w:val="0"/>
              </w:numPr>
              <w:tabs>
                <w:tab w:val="left" w:pos="0"/>
                <w:tab w:val="left" w:pos="712"/>
                <w:tab w:val="left" w:pos="1440"/>
              </w:tabs>
              <w:autoSpaceDE w:val="0"/>
              <w:autoSpaceDN w:val="0"/>
              <w:spacing w:line="560" w:lineRule="exact"/>
              <w:ind w:left="0" w:leftChars="0" w:firstLine="0" w:firstLineChars="0"/>
              <w:rPr>
                <w:rFonts w:hint="eastAsia" w:ascii="仿宋" w:hAnsi="仿宋" w:eastAsia="仿宋" w:cs="仿宋"/>
                <w:sz w:val="24"/>
                <w:szCs w:val="24"/>
                <w:lang w:val="en-US" w:eastAsia="zh-CN"/>
              </w:rPr>
            </w:pPr>
          </w:p>
        </w:tc>
        <w:tc>
          <w:tcPr>
            <w:tcW w:w="1031" w:type="dxa"/>
            <w:vMerge w:val="continue"/>
            <w:vAlign w:val="top"/>
          </w:tcPr>
          <w:p>
            <w:pPr>
              <w:widowControl w:val="0"/>
              <w:numPr>
                <w:ilvl w:val="0"/>
                <w:numId w:val="0"/>
              </w:numPr>
              <w:tabs>
                <w:tab w:val="left" w:pos="0"/>
                <w:tab w:val="left" w:pos="712"/>
                <w:tab w:val="left" w:pos="1440"/>
              </w:tabs>
              <w:autoSpaceDE w:val="0"/>
              <w:autoSpaceDN w:val="0"/>
              <w:spacing w:line="560" w:lineRule="exact"/>
              <w:ind w:left="0" w:leftChars="0" w:firstLine="0" w:firstLineChars="0"/>
              <w:rPr>
                <w:rFonts w:hint="eastAsia" w:ascii="仿宋" w:hAnsi="仿宋" w:eastAsia="仿宋" w:cs="仿宋"/>
                <w:sz w:val="24"/>
                <w:szCs w:val="24"/>
                <w:lang w:val="en-US" w:eastAsia="zh-CN"/>
              </w:rPr>
            </w:pPr>
          </w:p>
        </w:tc>
        <w:tc>
          <w:tcPr>
            <w:tcW w:w="2345" w:type="dxa"/>
            <w:vAlign w:val="top"/>
          </w:tcPr>
          <w:p>
            <w:pPr>
              <w:widowControl w:val="0"/>
              <w:numPr>
                <w:ilvl w:val="0"/>
                <w:numId w:val="0"/>
              </w:numPr>
              <w:tabs>
                <w:tab w:val="left" w:pos="0"/>
                <w:tab w:val="left" w:pos="712"/>
                <w:tab w:val="left" w:pos="1440"/>
              </w:tabs>
              <w:autoSpaceDE w:val="0"/>
              <w:autoSpaceDN w:val="0"/>
              <w:spacing w:line="560" w:lineRule="exact"/>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价格(30分）</w:t>
            </w:r>
          </w:p>
        </w:tc>
        <w:tc>
          <w:tcPr>
            <w:tcW w:w="4158" w:type="dxa"/>
            <w:vAlign w:val="top"/>
          </w:tcPr>
          <w:p>
            <w:pPr>
              <w:widowControl w:val="0"/>
              <w:numPr>
                <w:ilvl w:val="0"/>
                <w:numId w:val="0"/>
              </w:numPr>
              <w:tabs>
                <w:tab w:val="left" w:pos="0"/>
                <w:tab w:val="left" w:pos="712"/>
                <w:tab w:val="left" w:pos="1440"/>
              </w:tabs>
              <w:autoSpaceDE w:val="0"/>
              <w:autoSpaceDN w:val="0"/>
              <w:spacing w:line="560" w:lineRule="exact"/>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若报名供应商为三家以报价最低价做为基准价，若报名供应商为三家以上以次低价为基准价，每超出或低于10%减10分，最低得分0分，如报价内容缺失或未按照要求报价价格为0分。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top"/>
          </w:tcPr>
          <w:p>
            <w:pPr>
              <w:widowControl w:val="0"/>
              <w:numPr>
                <w:ilvl w:val="0"/>
                <w:numId w:val="0"/>
              </w:numPr>
              <w:tabs>
                <w:tab w:val="left" w:pos="0"/>
                <w:tab w:val="left" w:pos="712"/>
                <w:tab w:val="left" w:pos="1440"/>
              </w:tabs>
              <w:autoSpaceDE w:val="0"/>
              <w:autoSpaceDN w:val="0"/>
              <w:spacing w:line="560" w:lineRule="exact"/>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031" w:type="dxa"/>
            <w:vAlign w:val="top"/>
          </w:tcPr>
          <w:p>
            <w:pPr>
              <w:widowControl w:val="0"/>
              <w:numPr>
                <w:ilvl w:val="0"/>
                <w:numId w:val="0"/>
              </w:numPr>
              <w:tabs>
                <w:tab w:val="left" w:pos="0"/>
                <w:tab w:val="left" w:pos="712"/>
                <w:tab w:val="left" w:pos="1440"/>
              </w:tabs>
              <w:autoSpaceDE w:val="0"/>
              <w:autoSpaceDN w:val="0"/>
              <w:spacing w:line="560" w:lineRule="exact"/>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其他要 求</w:t>
            </w:r>
          </w:p>
        </w:tc>
        <w:tc>
          <w:tcPr>
            <w:tcW w:w="2345" w:type="dxa"/>
            <w:vAlign w:val="top"/>
          </w:tcPr>
          <w:p>
            <w:pPr>
              <w:widowControl w:val="0"/>
              <w:numPr>
                <w:ilvl w:val="0"/>
                <w:numId w:val="0"/>
              </w:numPr>
              <w:tabs>
                <w:tab w:val="left" w:pos="0"/>
                <w:tab w:val="left" w:pos="712"/>
                <w:tab w:val="left" w:pos="1440"/>
              </w:tabs>
              <w:autoSpaceDE w:val="0"/>
              <w:autoSpaceDN w:val="0"/>
              <w:spacing w:line="560" w:lineRule="exact"/>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其他要求（10分）</w:t>
            </w:r>
          </w:p>
        </w:tc>
        <w:tc>
          <w:tcPr>
            <w:tcW w:w="4158" w:type="dxa"/>
            <w:vAlign w:val="top"/>
          </w:tcPr>
          <w:p>
            <w:pPr>
              <w:widowControl w:val="0"/>
              <w:numPr>
                <w:ilvl w:val="0"/>
                <w:numId w:val="0"/>
              </w:numPr>
              <w:tabs>
                <w:tab w:val="left" w:pos="0"/>
                <w:tab w:val="left" w:pos="712"/>
                <w:tab w:val="left" w:pos="1440"/>
              </w:tabs>
              <w:autoSpaceDE w:val="0"/>
              <w:autoSpaceDN w:val="0"/>
              <w:spacing w:line="560" w:lineRule="exact"/>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满足其他付款、发票要求没有偏离得10分，每偏离或未响应一项扣5分，全部不满足得0分。</w:t>
            </w:r>
          </w:p>
        </w:tc>
      </w:tr>
    </w:tbl>
    <w:p>
      <w:pPr>
        <w:spacing w:line="380" w:lineRule="exact"/>
        <w:ind w:firstLine="480" w:firstLineChars="200"/>
        <w:jc w:val="left"/>
        <w:rPr>
          <w:rFonts w:hint="eastAsia" w:eastAsia="宋体"/>
          <w:sz w:val="24"/>
          <w:lang w:eastAsia="zh-CN"/>
        </w:rPr>
      </w:pPr>
      <w:r>
        <w:rPr>
          <w:rFonts w:hint="eastAsia"/>
          <w:sz w:val="24"/>
          <w:lang w:eastAsia="zh-CN"/>
        </w:rPr>
        <w:t>注：</w:t>
      </w:r>
      <w:r>
        <w:rPr>
          <w:rFonts w:hint="eastAsia" w:ascii="仿宋" w:hAnsi="仿宋" w:eastAsia="仿宋" w:cs="仿宋"/>
          <w:sz w:val="24"/>
          <w:szCs w:val="24"/>
          <w:lang w:val="en-US" w:eastAsia="zh-CN"/>
        </w:rPr>
        <w:t>资格评审不满足要求的投标单位，将取消本次综合评分</w:t>
      </w:r>
    </w:p>
    <w:p>
      <w:pPr>
        <w:spacing w:line="400" w:lineRule="exact"/>
        <w:ind w:firstLine="482" w:firstLineChars="200"/>
        <w:rPr>
          <w:rFonts w:hint="eastAsia"/>
          <w:b/>
          <w:sz w:val="24"/>
        </w:rPr>
      </w:pPr>
    </w:p>
    <w:p>
      <w:pPr>
        <w:spacing w:line="400" w:lineRule="exact"/>
        <w:ind w:firstLine="482" w:firstLineChars="200"/>
        <w:rPr>
          <w:b/>
          <w:sz w:val="24"/>
        </w:rPr>
      </w:pPr>
      <w:r>
        <w:rPr>
          <w:rFonts w:hint="eastAsia"/>
          <w:b/>
          <w:sz w:val="24"/>
        </w:rPr>
        <w:t>（五）</w:t>
      </w:r>
      <w:r>
        <w:rPr>
          <w:b/>
          <w:sz w:val="24"/>
        </w:rPr>
        <w:t>质疑</w:t>
      </w:r>
    </w:p>
    <w:p>
      <w:pPr>
        <w:spacing w:line="380" w:lineRule="exact"/>
        <w:ind w:firstLine="480" w:firstLineChars="200"/>
        <w:rPr>
          <w:sz w:val="24"/>
        </w:rPr>
      </w:pPr>
      <w:r>
        <w:rPr>
          <w:rFonts w:hint="eastAsia"/>
          <w:sz w:val="24"/>
        </w:rPr>
        <w:t>1、</w:t>
      </w:r>
      <w:r>
        <w:rPr>
          <w:sz w:val="24"/>
        </w:rPr>
        <w:t>质疑提出</w:t>
      </w:r>
    </w:p>
    <w:p>
      <w:pPr>
        <w:spacing w:line="380" w:lineRule="exact"/>
        <w:ind w:firstLine="480" w:firstLineChars="200"/>
        <w:rPr>
          <w:sz w:val="24"/>
        </w:rPr>
      </w:pPr>
      <w:r>
        <w:rPr>
          <w:rFonts w:hint="eastAsia"/>
          <w:sz w:val="24"/>
        </w:rPr>
        <w:t>潜在</w:t>
      </w:r>
      <w:r>
        <w:rPr>
          <w:sz w:val="24"/>
        </w:rPr>
        <w:t>供应商认为采购</w:t>
      </w:r>
      <w:r>
        <w:rPr>
          <w:rFonts w:hint="eastAsia"/>
          <w:sz w:val="24"/>
        </w:rPr>
        <w:t>招标</w:t>
      </w:r>
      <w:r>
        <w:rPr>
          <w:sz w:val="24"/>
        </w:rPr>
        <w:t>文件、过程、中标或者成交结果使自己的权益受到损害的，可以在</w:t>
      </w:r>
      <w:r>
        <w:rPr>
          <w:rFonts w:hint="eastAsia"/>
          <w:sz w:val="24"/>
        </w:rPr>
        <w:t>招标投标截止之日前或中标通知公示期内</w:t>
      </w:r>
      <w:r>
        <w:rPr>
          <w:sz w:val="24"/>
        </w:rPr>
        <w:t>，提出质疑。</w:t>
      </w:r>
    </w:p>
    <w:p>
      <w:pPr>
        <w:spacing w:line="380" w:lineRule="exact"/>
        <w:ind w:firstLine="480" w:firstLineChars="200"/>
        <w:rPr>
          <w:sz w:val="24"/>
        </w:rPr>
      </w:pPr>
      <w:r>
        <w:rPr>
          <w:rFonts w:hint="eastAsia"/>
          <w:sz w:val="24"/>
        </w:rPr>
        <w:t>2、质疑应以书面形式实名提出，书面质疑材料应当包括以下内容：</w:t>
      </w:r>
    </w:p>
    <w:p>
      <w:pPr>
        <w:spacing w:line="380" w:lineRule="exact"/>
        <w:ind w:firstLine="480" w:firstLineChars="200"/>
        <w:rPr>
          <w:sz w:val="24"/>
        </w:rPr>
      </w:pPr>
      <w:r>
        <w:rPr>
          <w:rFonts w:hint="eastAsia"/>
          <w:sz w:val="24"/>
        </w:rPr>
        <w:t>（1）质疑人的名称、地址、有效联系方式；</w:t>
      </w:r>
    </w:p>
    <w:p>
      <w:pPr>
        <w:spacing w:line="380" w:lineRule="exact"/>
        <w:ind w:firstLine="480" w:firstLineChars="200"/>
        <w:rPr>
          <w:sz w:val="24"/>
        </w:rPr>
      </w:pPr>
      <w:r>
        <w:rPr>
          <w:rFonts w:hint="eastAsia"/>
          <w:sz w:val="24"/>
        </w:rPr>
        <w:t>（2）项目名称、项目编号、包别号（如有）；</w:t>
      </w:r>
    </w:p>
    <w:p>
      <w:pPr>
        <w:spacing w:line="380" w:lineRule="exact"/>
        <w:ind w:firstLine="480" w:firstLineChars="200"/>
        <w:rPr>
          <w:sz w:val="24"/>
        </w:rPr>
      </w:pPr>
      <w:r>
        <w:rPr>
          <w:rFonts w:hint="eastAsia"/>
          <w:sz w:val="24"/>
        </w:rPr>
        <w:t>（3）被质疑人名称；</w:t>
      </w:r>
    </w:p>
    <w:p>
      <w:pPr>
        <w:spacing w:line="380" w:lineRule="exact"/>
        <w:ind w:firstLine="480" w:firstLineChars="200"/>
        <w:rPr>
          <w:sz w:val="24"/>
        </w:rPr>
      </w:pPr>
      <w:r>
        <w:rPr>
          <w:rFonts w:hint="eastAsia"/>
          <w:sz w:val="24"/>
        </w:rPr>
        <w:t>（4）具体的质疑事项、基本事实及必要的证明材料；</w:t>
      </w:r>
    </w:p>
    <w:p>
      <w:pPr>
        <w:spacing w:line="380" w:lineRule="exact"/>
        <w:ind w:firstLine="480" w:firstLineChars="200"/>
        <w:rPr>
          <w:sz w:val="24"/>
        </w:rPr>
      </w:pPr>
      <w:r>
        <w:rPr>
          <w:rFonts w:hint="eastAsia"/>
          <w:sz w:val="24"/>
        </w:rPr>
        <w:t>（5）明确的请求及主张；</w:t>
      </w:r>
    </w:p>
    <w:p>
      <w:pPr>
        <w:spacing w:line="380" w:lineRule="exact"/>
        <w:ind w:firstLine="480" w:firstLineChars="200"/>
        <w:rPr>
          <w:sz w:val="24"/>
        </w:rPr>
      </w:pPr>
      <w:r>
        <w:rPr>
          <w:rFonts w:hint="eastAsia"/>
          <w:sz w:val="24"/>
        </w:rPr>
        <w:t>（6）提起质疑的日期。</w:t>
      </w:r>
    </w:p>
    <w:p>
      <w:pPr>
        <w:spacing w:line="380" w:lineRule="exact"/>
        <w:ind w:firstLine="480" w:firstLineChars="200"/>
        <w:rPr>
          <w:sz w:val="24"/>
        </w:rPr>
      </w:pPr>
      <w:r>
        <w:rPr>
          <w:rFonts w:hint="eastAsia"/>
          <w:sz w:val="24"/>
        </w:rPr>
        <w:t>质疑人为法人或者其他组织的，应当由法定代表人或其委托代理人（需有委托授权书）签字并加盖公章。</w:t>
      </w:r>
    </w:p>
    <w:p>
      <w:pPr>
        <w:spacing w:line="380" w:lineRule="exact"/>
        <w:ind w:firstLine="480" w:firstLineChars="200"/>
        <w:rPr>
          <w:sz w:val="24"/>
        </w:rPr>
      </w:pPr>
      <w:r>
        <w:rPr>
          <w:rFonts w:hint="eastAsia"/>
          <w:sz w:val="24"/>
        </w:rPr>
        <w:t>质疑人需要修改、补充质疑材料的，应当在质疑期内提交修改或补充材料。</w:t>
      </w:r>
    </w:p>
    <w:p>
      <w:pPr>
        <w:spacing w:line="380" w:lineRule="exact"/>
        <w:ind w:firstLine="480" w:firstLineChars="200"/>
        <w:rPr>
          <w:sz w:val="24"/>
        </w:rPr>
      </w:pPr>
      <w:r>
        <w:rPr>
          <w:rFonts w:hint="eastAsia"/>
          <w:sz w:val="24"/>
        </w:rPr>
        <w:t>3、有下列情形之一的，不予受理：</w:t>
      </w:r>
    </w:p>
    <w:p>
      <w:pPr>
        <w:spacing w:line="380" w:lineRule="exact"/>
        <w:ind w:firstLine="480" w:firstLineChars="200"/>
        <w:rPr>
          <w:sz w:val="24"/>
        </w:rPr>
      </w:pPr>
      <w:r>
        <w:rPr>
          <w:rFonts w:hint="eastAsia"/>
          <w:sz w:val="24"/>
        </w:rPr>
        <w:t>（1）提起质疑的主体不是参与该政府采购项目活动的供应商；</w:t>
      </w:r>
    </w:p>
    <w:p>
      <w:pPr>
        <w:spacing w:line="380" w:lineRule="exact"/>
        <w:ind w:firstLine="480" w:firstLineChars="200"/>
        <w:rPr>
          <w:sz w:val="24"/>
        </w:rPr>
      </w:pPr>
      <w:r>
        <w:rPr>
          <w:rFonts w:hint="eastAsia"/>
          <w:sz w:val="24"/>
        </w:rPr>
        <w:t>（2）提起质疑的时间超过规定时限的；</w:t>
      </w:r>
    </w:p>
    <w:p>
      <w:pPr>
        <w:spacing w:line="380" w:lineRule="exact"/>
        <w:ind w:firstLine="480" w:firstLineChars="200"/>
        <w:rPr>
          <w:sz w:val="24"/>
        </w:rPr>
      </w:pPr>
      <w:r>
        <w:rPr>
          <w:rFonts w:hint="eastAsia"/>
          <w:sz w:val="24"/>
        </w:rPr>
        <w:t>（3）质疑材料不完整的；</w:t>
      </w:r>
    </w:p>
    <w:p>
      <w:pPr>
        <w:spacing w:line="380" w:lineRule="exact"/>
        <w:ind w:firstLine="480" w:firstLineChars="200"/>
        <w:rPr>
          <w:sz w:val="24"/>
        </w:rPr>
      </w:pPr>
      <w:r>
        <w:rPr>
          <w:rFonts w:hint="eastAsia"/>
          <w:sz w:val="24"/>
        </w:rPr>
        <w:t>（4）质疑事项含有主观猜测等内容且未提供有效线索、难以查证的；</w:t>
      </w:r>
    </w:p>
    <w:p>
      <w:pPr>
        <w:spacing w:line="380" w:lineRule="exact"/>
        <w:ind w:firstLine="480" w:firstLineChars="200"/>
        <w:rPr>
          <w:sz w:val="24"/>
        </w:rPr>
      </w:pPr>
      <w:r>
        <w:rPr>
          <w:rFonts w:hint="eastAsia"/>
          <w:sz w:val="24"/>
        </w:rPr>
        <w:t>（5）对其他投标供应商的投标文件详细内容质疑，无法提供合法来源渠道的；</w:t>
      </w:r>
    </w:p>
    <w:p>
      <w:pPr>
        <w:spacing w:line="380" w:lineRule="exact"/>
        <w:ind w:firstLine="480" w:firstLineChars="200"/>
        <w:rPr>
          <w:sz w:val="24"/>
        </w:rPr>
      </w:pPr>
      <w:r>
        <w:rPr>
          <w:rFonts w:hint="eastAsia"/>
          <w:sz w:val="24"/>
        </w:rPr>
        <w:t>（6）质疑事项已进入投诉处理、行政复议或行政诉讼程序的。</w:t>
      </w:r>
    </w:p>
    <w:p>
      <w:pPr>
        <w:spacing w:line="380" w:lineRule="exact"/>
        <w:ind w:firstLine="480" w:firstLineChars="200"/>
        <w:rPr>
          <w:sz w:val="24"/>
        </w:rPr>
      </w:pPr>
      <w:r>
        <w:rPr>
          <w:rFonts w:hint="eastAsia"/>
          <w:sz w:val="24"/>
        </w:rPr>
        <w:t>4、经审查符合质疑条件的，自收到质疑之日起即为受理。采购人将在质疑受理后7个工作日内作出答复或相关处理决定（需要检验、检测、鉴定、专家评审的，所需时间不计算在内），并以书面形式通知质疑人，答复的内容不得涉及商业秘密。</w:t>
      </w:r>
    </w:p>
    <w:p>
      <w:pPr>
        <w:spacing w:line="380" w:lineRule="exact"/>
        <w:ind w:firstLine="480" w:firstLineChars="200"/>
        <w:rPr>
          <w:sz w:val="24"/>
        </w:rPr>
      </w:pPr>
      <w:r>
        <w:rPr>
          <w:rFonts w:hint="eastAsia"/>
          <w:sz w:val="24"/>
        </w:rPr>
        <w:t>5、质疑人在答复期满前撤回质疑的，应由法定代表人或授权代表人签字确认，采购人即终止质疑处理程序。质疑人不得以同一理由再次提出质疑。</w:t>
      </w:r>
    </w:p>
    <w:p>
      <w:pPr>
        <w:spacing w:line="380" w:lineRule="exact"/>
        <w:ind w:firstLine="480" w:firstLineChars="200"/>
        <w:rPr>
          <w:sz w:val="24"/>
        </w:rPr>
      </w:pPr>
      <w:r>
        <w:rPr>
          <w:rFonts w:hint="eastAsia"/>
          <w:sz w:val="24"/>
        </w:rPr>
        <w:t>质疑人应在答复期满后十五个工作日内提起投诉。</w:t>
      </w:r>
    </w:p>
    <w:p>
      <w:pPr>
        <w:spacing w:line="380" w:lineRule="exact"/>
        <w:ind w:firstLine="480" w:firstLineChars="200"/>
        <w:rPr>
          <w:sz w:val="24"/>
        </w:rPr>
      </w:pPr>
      <w:r>
        <w:rPr>
          <w:rFonts w:hint="eastAsia"/>
          <w:sz w:val="24"/>
        </w:rPr>
        <w:t>6、质疑人有下列情形之一的，属于虚假、恶意质疑，采购人将报淮北市公共资源交易监督管理部门予以处理。</w:t>
      </w:r>
    </w:p>
    <w:p>
      <w:pPr>
        <w:spacing w:line="380" w:lineRule="exact"/>
        <w:ind w:firstLine="480" w:firstLineChars="200"/>
        <w:rPr>
          <w:sz w:val="24"/>
        </w:rPr>
      </w:pPr>
      <w:r>
        <w:rPr>
          <w:rFonts w:hint="eastAsia"/>
          <w:sz w:val="24"/>
        </w:rPr>
        <w:t>（1）一年内三次以上质疑均查无实据的；</w:t>
      </w:r>
    </w:p>
    <w:p>
      <w:pPr>
        <w:spacing w:line="380" w:lineRule="exact"/>
        <w:ind w:firstLine="480" w:firstLineChars="200"/>
        <w:rPr>
          <w:sz w:val="24"/>
        </w:rPr>
      </w:pPr>
      <w:r>
        <w:rPr>
          <w:rFonts w:hint="eastAsia"/>
          <w:sz w:val="24"/>
        </w:rPr>
        <w:t>（2）捏造事实恶意诬陷他人、有意提供虚假质疑材料的或者通过非法手段获取材料的。</w:t>
      </w:r>
    </w:p>
    <w:p>
      <w:pPr>
        <w:spacing w:line="380" w:lineRule="exact"/>
        <w:ind w:firstLine="480" w:firstLineChars="200"/>
        <w:rPr>
          <w:sz w:val="24"/>
        </w:rPr>
      </w:pPr>
      <w:r>
        <w:rPr>
          <w:rFonts w:hint="eastAsia"/>
          <w:sz w:val="24"/>
        </w:rPr>
        <w:t>3、质疑联系：</w:t>
      </w:r>
    </w:p>
    <w:p>
      <w:pPr>
        <w:spacing w:line="380" w:lineRule="exact"/>
        <w:ind w:firstLine="480" w:firstLineChars="200"/>
        <w:rPr>
          <w:sz w:val="24"/>
        </w:rPr>
      </w:pPr>
      <w:r>
        <w:rPr>
          <w:rFonts w:hint="eastAsia"/>
          <w:sz w:val="24"/>
        </w:rPr>
        <w:t xml:space="preserve"> </w:t>
      </w:r>
    </w:p>
    <w:p>
      <w:pPr>
        <w:pStyle w:val="15"/>
        <w:jc w:val="center"/>
        <w:rPr>
          <w:kern w:val="0"/>
        </w:rPr>
      </w:pPr>
      <w:bookmarkStart w:id="9" w:name="_Toc29803284"/>
      <w:r>
        <w:rPr>
          <w:rFonts w:hint="eastAsia"/>
          <w:kern w:val="0"/>
        </w:rPr>
        <w:t>第二部分  采购需求</w:t>
      </w:r>
      <w:bookmarkEnd w:id="9"/>
    </w:p>
    <w:p>
      <w:pPr>
        <w:spacing w:line="360" w:lineRule="auto"/>
        <w:rPr>
          <w:rFonts w:ascii="宋体" w:hAnsi="宋体" w:cs="宋体"/>
          <w:b/>
          <w:sz w:val="24"/>
          <w:szCs w:val="28"/>
        </w:rPr>
      </w:pPr>
      <w:r>
        <w:rPr>
          <w:rFonts w:hint="eastAsia" w:ascii="宋体" w:hAnsi="宋体" w:cs="宋体"/>
          <w:b/>
          <w:sz w:val="24"/>
          <w:szCs w:val="28"/>
        </w:rPr>
        <w:t>前注：</w:t>
      </w:r>
    </w:p>
    <w:p>
      <w:pPr>
        <w:spacing w:line="380" w:lineRule="exact"/>
        <w:ind w:firstLine="480" w:firstLineChars="200"/>
        <w:rPr>
          <w:b/>
          <w:sz w:val="24"/>
        </w:rPr>
      </w:pPr>
      <w:r>
        <w:rPr>
          <w:rFonts w:hint="eastAsia"/>
          <w:sz w:val="24"/>
        </w:rPr>
        <w:t>1、本采购需求中提出的技术方案仅为参考，如无明确限制，投标供应商可以进行优化，提供满足采购人实际需要的更优（或者性能实质上不低于的）技术方案或者设备配置，且此方案或配置须经评标委员会评审认可；</w:t>
      </w:r>
      <w:r>
        <w:rPr>
          <w:rFonts w:hint="eastAsia"/>
          <w:sz w:val="24"/>
        </w:rPr>
        <w:cr/>
      </w:r>
      <w:r>
        <w:rPr>
          <w:rFonts w:hint="eastAsia"/>
          <w:sz w:val="24"/>
        </w:rPr>
        <w:t xml:space="preserve">   </w:t>
      </w:r>
      <w:r>
        <w:rPr>
          <w:rFonts w:hint="eastAsia"/>
          <w:b/>
          <w:sz w:val="24"/>
        </w:rPr>
        <w:t xml:space="preserve"> 2、标★的技术参数不允许负偏离，如出现负偏离视为技术参数不响应，作无效标处理；未标★的技术参数在能够满足采购人使用的情况下允许偏离，但供应商应在投标文件中提出偏离说明，供评标委员会评审；</w:t>
      </w:r>
    </w:p>
    <w:p>
      <w:pPr>
        <w:spacing w:line="380" w:lineRule="exact"/>
        <w:ind w:firstLine="480" w:firstLineChars="200"/>
        <w:rPr>
          <w:sz w:val="24"/>
        </w:rPr>
      </w:pPr>
      <w:r>
        <w:rPr>
          <w:rFonts w:hint="eastAsia"/>
          <w:sz w:val="24"/>
        </w:rPr>
        <w:t>3、为有助于投标供应商选择投标产品，若项目需求中提供了推荐品牌（或型号）、参考品牌（或型号）等，这些品牌（或型号）仅供参考，并无限制性。投标供应商可以选择性能不低于推荐（或参考）的品牌（或型号）的其他品牌产品，但投标时应当提供有关技术证明资料，未提供的可能导致投标无效；</w:t>
      </w:r>
    </w:p>
    <w:p>
      <w:pPr>
        <w:spacing w:line="360" w:lineRule="auto"/>
        <w:ind w:firstLine="480" w:firstLineChars="200"/>
        <w:rPr>
          <w:rFonts w:ascii="宋体" w:hAnsi="宋体"/>
          <w:color w:val="000000"/>
          <w:sz w:val="24"/>
          <w:szCs w:val="28"/>
        </w:rPr>
      </w:pPr>
      <w:r>
        <w:rPr>
          <w:rFonts w:hint="eastAsia" w:ascii="宋体" w:hAnsi="宋体"/>
          <w:color w:val="000000"/>
          <w:sz w:val="24"/>
          <w:szCs w:val="28"/>
        </w:rPr>
        <w:t>4、投标供应商应当在投标文件中列出完成本项目并通过验收所需的所有各项服务等明细表及全部费用。中标供应商必须确保整体通过采购人及有关主管部门验收,所发生的验收费用由中标供应商承担；投标供应商应自行踏勘项目现场，如投标供应商因未及时踏勘现场而导致的报价缺项漏项废标、或中标后无法完工，投标供应商自行承担一切后果；</w:t>
      </w:r>
    </w:p>
    <w:p>
      <w:pPr>
        <w:spacing w:line="360" w:lineRule="auto"/>
        <w:ind w:firstLine="482" w:firstLineChars="200"/>
        <w:rPr>
          <w:rFonts w:ascii="宋体" w:hAnsi="宋体" w:cs="宋体"/>
          <w:b/>
          <w:sz w:val="24"/>
        </w:rPr>
      </w:pPr>
      <w:r>
        <w:rPr>
          <w:rFonts w:hint="eastAsia" w:ascii="宋体" w:hAnsi="宋体" w:cs="宋体"/>
          <w:b/>
          <w:sz w:val="24"/>
        </w:rPr>
        <w:t>5、根据《关于规范政府采购进口产品有关工作的通知》及政府采购管理部门的相关规定，下列采购需求中如涉及进口产品则已履行相关论证手续，经核准采购进口设备，但不限制满足招标文件要求的国内产品参与竞争；</w:t>
      </w:r>
    </w:p>
    <w:p>
      <w:pPr>
        <w:spacing w:line="360" w:lineRule="auto"/>
        <w:ind w:firstLine="482" w:firstLineChars="200"/>
        <w:rPr>
          <w:rFonts w:ascii="宋体" w:hAnsi="宋体" w:cs="宋体"/>
          <w:b/>
          <w:bCs/>
          <w:sz w:val="24"/>
        </w:rPr>
      </w:pPr>
      <w:r>
        <w:rPr>
          <w:rFonts w:hint="eastAsia" w:ascii="宋体" w:hAnsi="宋体" w:cs="宋体"/>
          <w:b/>
          <w:bCs/>
          <w:sz w:val="24"/>
        </w:rPr>
        <w:t>6、在采购活动开始前没有获准采购进口产品而开展采购活动的，视同为拒绝采购进口产品，供应商投报进口产品将不被接受，视为不实质响应招标文件。</w:t>
      </w:r>
    </w:p>
    <w:p>
      <w:pPr>
        <w:rPr>
          <w:b/>
          <w:spacing w:val="-8"/>
          <w:sz w:val="28"/>
          <w:szCs w:val="28"/>
        </w:rPr>
      </w:pPr>
    </w:p>
    <w:p>
      <w:pPr>
        <w:spacing w:line="360" w:lineRule="auto"/>
        <w:rPr>
          <w:rFonts w:ascii="宋体" w:hAnsi="宋体" w:cs="宋体"/>
          <w:b/>
          <w:sz w:val="24"/>
          <w:szCs w:val="28"/>
        </w:rPr>
      </w:pPr>
      <w:r>
        <w:rPr>
          <w:rFonts w:hint="eastAsia" w:ascii="宋体" w:hAnsi="宋体" w:cs="宋体"/>
          <w:b/>
          <w:sz w:val="24"/>
          <w:szCs w:val="28"/>
        </w:rPr>
        <w:t>采购需求如下：</w:t>
      </w:r>
    </w:p>
    <w:p>
      <w:pPr>
        <w:rPr>
          <w:rFonts w:hint="eastAsia"/>
          <w:b/>
          <w:spacing w:val="-8"/>
          <w:sz w:val="28"/>
          <w:szCs w:val="28"/>
        </w:rPr>
      </w:pPr>
    </w:p>
    <w:p>
      <w:pPr>
        <w:rPr>
          <w:rFonts w:hint="eastAsia"/>
          <w:b/>
          <w:spacing w:val="-8"/>
          <w:sz w:val="28"/>
          <w:szCs w:val="28"/>
        </w:rPr>
      </w:pPr>
    </w:p>
    <w:p>
      <w:pPr>
        <w:rPr>
          <w:rFonts w:hint="eastAsia"/>
          <w:b/>
          <w:spacing w:val="-8"/>
          <w:sz w:val="28"/>
          <w:szCs w:val="28"/>
        </w:rPr>
      </w:pPr>
    </w:p>
    <w:p>
      <w:pPr>
        <w:rPr>
          <w:b/>
          <w:spacing w:val="-8"/>
          <w:sz w:val="28"/>
          <w:szCs w:val="28"/>
        </w:rPr>
      </w:pPr>
      <w:r>
        <w:rPr>
          <w:rFonts w:hint="eastAsia"/>
          <w:b/>
          <w:spacing w:val="-8"/>
          <w:sz w:val="28"/>
          <w:szCs w:val="28"/>
        </w:rPr>
        <w:t>一、技术参数要求</w:t>
      </w:r>
    </w:p>
    <w:tbl>
      <w:tblPr>
        <w:tblStyle w:val="16"/>
        <w:tblW w:w="4998" w:type="pct"/>
        <w:tblInd w:w="0" w:type="dxa"/>
        <w:tblLayout w:type="autofit"/>
        <w:tblCellMar>
          <w:top w:w="0" w:type="dxa"/>
          <w:left w:w="0" w:type="dxa"/>
          <w:bottom w:w="0" w:type="dxa"/>
          <w:right w:w="0" w:type="dxa"/>
        </w:tblCellMar>
      </w:tblPr>
      <w:tblGrid>
        <w:gridCol w:w="634"/>
        <w:gridCol w:w="1934"/>
        <w:gridCol w:w="1172"/>
        <w:gridCol w:w="4593"/>
      </w:tblGrid>
      <w:tr>
        <w:tblPrEx>
          <w:tblCellMar>
            <w:top w:w="0" w:type="dxa"/>
            <w:left w:w="0" w:type="dxa"/>
            <w:bottom w:w="0" w:type="dxa"/>
            <w:right w:w="0" w:type="dxa"/>
          </w:tblCellMar>
        </w:tblPrEx>
        <w:trPr>
          <w:trHeight w:val="619" w:hRule="atLeast"/>
        </w:trPr>
        <w:tc>
          <w:tcPr>
            <w:tcW w:w="38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序号</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试验项目</w:t>
            </w:r>
          </w:p>
        </w:tc>
        <w:tc>
          <w:tcPr>
            <w:tcW w:w="7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color w:val="000000"/>
                <w:sz w:val="24"/>
                <w:szCs w:val="24"/>
                <w:lang w:eastAsia="zh-CN"/>
              </w:rPr>
            </w:pPr>
            <w:r>
              <w:rPr>
                <w:rFonts w:hint="eastAsia" w:ascii="宋体" w:hAnsi="宋体" w:cs="宋体"/>
                <w:b/>
                <w:color w:val="000000"/>
                <w:sz w:val="24"/>
                <w:szCs w:val="24"/>
                <w:lang w:val="en-US" w:eastAsia="zh-CN"/>
              </w:rPr>
              <w:t>数量</w:t>
            </w:r>
          </w:p>
        </w:tc>
        <w:tc>
          <w:tcPr>
            <w:tcW w:w="27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b/>
                <w:color w:val="000000"/>
                <w:sz w:val="24"/>
                <w:szCs w:val="24"/>
              </w:rPr>
            </w:pPr>
            <w:r>
              <w:rPr>
                <w:rFonts w:hint="eastAsia" w:ascii="宋体" w:hAnsi="宋体" w:cs="宋体"/>
                <w:b/>
                <w:color w:val="000000"/>
                <w:sz w:val="24"/>
                <w:szCs w:val="24"/>
              </w:rPr>
              <w:t>试验内容</w:t>
            </w:r>
          </w:p>
        </w:tc>
      </w:tr>
      <w:tr>
        <w:tblPrEx>
          <w:tblCellMar>
            <w:top w:w="0" w:type="dxa"/>
            <w:left w:w="0" w:type="dxa"/>
            <w:bottom w:w="0" w:type="dxa"/>
            <w:right w:w="0" w:type="dxa"/>
          </w:tblCellMar>
        </w:tblPrEx>
        <w:trPr>
          <w:trHeight w:val="1703" w:hRule="atLeast"/>
        </w:trPr>
        <w:tc>
          <w:tcPr>
            <w:tcW w:w="38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rPr>
              <w:t>变压器</w:t>
            </w:r>
          </w:p>
        </w:tc>
        <w:tc>
          <w:tcPr>
            <w:tcW w:w="7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2台</w:t>
            </w:r>
          </w:p>
        </w:tc>
        <w:tc>
          <w:tcPr>
            <w:tcW w:w="27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1"/>
              </w:numPr>
              <w:jc w:val="left"/>
              <w:textAlignment w:val="center"/>
              <w:rPr>
                <w:rFonts w:hint="default"/>
                <w:sz w:val="24"/>
                <w:szCs w:val="24"/>
                <w:lang w:val="en-US" w:eastAsia="zh-CN"/>
              </w:rPr>
            </w:pPr>
            <w:r>
              <w:rPr>
                <w:rFonts w:hint="eastAsia"/>
                <w:sz w:val="24"/>
                <w:szCs w:val="24"/>
                <w:lang w:val="en-US" w:eastAsia="zh-CN"/>
              </w:rPr>
              <w:t>测量绕组连同套管的直流电阻；</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检查所以分接头的电压比；</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测量绕组连同套管的绝缘电阻、吸收比或极化指数；</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绕组连同套管的交流耐压试验；（5）红外精确测温检测；（6）除尘</w:t>
            </w:r>
          </w:p>
        </w:tc>
      </w:tr>
      <w:tr>
        <w:tblPrEx>
          <w:tblCellMar>
            <w:top w:w="0" w:type="dxa"/>
            <w:left w:w="0" w:type="dxa"/>
            <w:bottom w:w="0" w:type="dxa"/>
            <w:right w:w="0" w:type="dxa"/>
          </w:tblCellMar>
        </w:tblPrEx>
        <w:trPr>
          <w:trHeight w:val="1436" w:hRule="atLeast"/>
        </w:trPr>
        <w:tc>
          <w:tcPr>
            <w:tcW w:w="38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2</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kern w:val="0"/>
                <w:sz w:val="24"/>
                <w:szCs w:val="24"/>
                <w:lang w:val="en-US" w:eastAsia="zh-CN"/>
              </w:rPr>
              <w:t>高压电缆</w:t>
            </w:r>
          </w:p>
        </w:tc>
        <w:tc>
          <w:tcPr>
            <w:tcW w:w="7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3根</w:t>
            </w:r>
          </w:p>
        </w:tc>
        <w:tc>
          <w:tcPr>
            <w:tcW w:w="27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0"/>
              </w:numPr>
              <w:jc w:val="left"/>
              <w:textAlignment w:val="center"/>
              <w:rPr>
                <w:rFonts w:hint="default" w:ascii="Times New Roman" w:hAnsi="Times New Roman" w:eastAsia="宋体" w:cs="Times New Roman"/>
                <w:kern w:val="2"/>
                <w:sz w:val="21"/>
                <w:szCs w:val="24"/>
                <w:lang w:val="en-US" w:eastAsia="zh-CN" w:bidi="ar-SA"/>
              </w:rPr>
            </w:pPr>
            <w:r>
              <w:rPr>
                <w:rFonts w:hint="eastAsia" w:cs="Times New Roman"/>
                <w:kern w:val="2"/>
                <w:sz w:val="24"/>
                <w:szCs w:val="24"/>
                <w:lang w:val="en-US" w:eastAsia="zh-CN" w:bidi="ar-SA"/>
              </w:rPr>
              <w:t>（1）测量绝缘电阻；（2）交流耐压试验</w:t>
            </w:r>
          </w:p>
        </w:tc>
      </w:tr>
      <w:tr>
        <w:tblPrEx>
          <w:tblCellMar>
            <w:top w:w="0" w:type="dxa"/>
            <w:left w:w="0" w:type="dxa"/>
            <w:bottom w:w="0" w:type="dxa"/>
            <w:right w:w="0" w:type="dxa"/>
          </w:tblCellMar>
        </w:tblPrEx>
        <w:trPr>
          <w:trHeight w:val="619" w:hRule="atLeast"/>
        </w:trPr>
        <w:tc>
          <w:tcPr>
            <w:tcW w:w="38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3</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val="en-US" w:eastAsia="zh-CN"/>
              </w:rPr>
              <w:t>高压</w:t>
            </w:r>
            <w:r>
              <w:rPr>
                <w:rFonts w:hint="eastAsia" w:ascii="宋体" w:hAnsi="宋体" w:cs="宋体"/>
                <w:color w:val="000000"/>
                <w:kern w:val="0"/>
                <w:sz w:val="24"/>
                <w:szCs w:val="24"/>
              </w:rPr>
              <w:t>开关柜</w:t>
            </w:r>
          </w:p>
        </w:tc>
        <w:tc>
          <w:tcPr>
            <w:tcW w:w="7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szCs w:val="24"/>
              </w:rPr>
            </w:pPr>
            <w:r>
              <w:rPr>
                <w:rFonts w:hint="eastAsia" w:ascii="宋体" w:hAnsi="宋体" w:cs="宋体"/>
                <w:color w:val="000000"/>
                <w:sz w:val="24"/>
                <w:szCs w:val="24"/>
                <w:lang w:val="en-US" w:eastAsia="zh-CN"/>
              </w:rPr>
              <w:t>3台</w:t>
            </w:r>
          </w:p>
        </w:tc>
        <w:tc>
          <w:tcPr>
            <w:tcW w:w="27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传动试验；</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零序电流互感器误差、直流电阻、绝缘电阻；（3）消谐装置校验、开口电压；（4）支柱绝缘子绝缘电阻、交流耐压试验;(5)测量互感器直阻、变比、励磁和绝缘试验；（6）测量避雷器</w:t>
            </w:r>
            <w:r>
              <w:rPr>
                <w:rFonts w:hint="eastAsia" w:ascii="宋体" w:hAnsi="宋体" w:cs="宋体"/>
                <w:color w:val="000000"/>
                <w:kern w:val="0"/>
                <w:sz w:val="24"/>
                <w:szCs w:val="24"/>
              </w:rPr>
              <w:t>直流参考电压和0.75倍直流参考电压下的泄露电流</w:t>
            </w:r>
            <w:r>
              <w:rPr>
                <w:rFonts w:hint="eastAsia" w:ascii="宋体" w:hAnsi="宋体" w:cs="宋体"/>
                <w:color w:val="000000"/>
                <w:kern w:val="0"/>
                <w:sz w:val="24"/>
                <w:szCs w:val="24"/>
                <w:lang w:val="en-US" w:eastAsia="zh-CN"/>
              </w:rPr>
              <w:t>试验</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测量绝缘电阻；（7）局部放电检测；（8）除尘</w:t>
            </w:r>
          </w:p>
        </w:tc>
      </w:tr>
      <w:tr>
        <w:tblPrEx>
          <w:tblCellMar>
            <w:top w:w="0" w:type="dxa"/>
            <w:left w:w="0" w:type="dxa"/>
            <w:bottom w:w="0" w:type="dxa"/>
            <w:right w:w="0" w:type="dxa"/>
          </w:tblCellMar>
        </w:tblPrEx>
        <w:trPr>
          <w:trHeight w:val="1044" w:hRule="atLeast"/>
        </w:trPr>
        <w:tc>
          <w:tcPr>
            <w:tcW w:w="38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4</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kern w:val="0"/>
                <w:sz w:val="24"/>
                <w:szCs w:val="24"/>
                <w:lang w:val="en-US" w:eastAsia="zh-CN"/>
              </w:rPr>
              <w:t>10kV综合保护装置</w:t>
            </w:r>
          </w:p>
        </w:tc>
        <w:tc>
          <w:tcPr>
            <w:tcW w:w="7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3套</w:t>
            </w:r>
          </w:p>
        </w:tc>
        <w:tc>
          <w:tcPr>
            <w:tcW w:w="27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定值校验；（2）开关传动；</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接线紧固</w:t>
            </w:r>
          </w:p>
        </w:tc>
      </w:tr>
      <w:tr>
        <w:tblPrEx>
          <w:tblCellMar>
            <w:top w:w="0" w:type="dxa"/>
            <w:left w:w="0" w:type="dxa"/>
            <w:bottom w:w="0" w:type="dxa"/>
            <w:right w:w="0" w:type="dxa"/>
          </w:tblCellMar>
        </w:tblPrEx>
        <w:trPr>
          <w:trHeight w:val="619" w:hRule="atLeast"/>
        </w:trPr>
        <w:tc>
          <w:tcPr>
            <w:tcW w:w="38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5</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kern w:val="0"/>
                <w:sz w:val="24"/>
                <w:szCs w:val="24"/>
                <w:lang w:val="en-US" w:eastAsia="zh-CN"/>
              </w:rPr>
              <w:t>10kV环网柜高压柜</w:t>
            </w:r>
          </w:p>
        </w:tc>
        <w:tc>
          <w:tcPr>
            <w:tcW w:w="7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3台</w:t>
            </w:r>
          </w:p>
        </w:tc>
        <w:tc>
          <w:tcPr>
            <w:tcW w:w="27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传动试验；</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零序电流互感器误差、直流电阻、绝缘电阻；（3）消谐装置校验、开口电压；（4）支柱绝缘子绝缘电阻、交流耐压试验;（5）局部放电检测；（6）除尘</w:t>
            </w:r>
          </w:p>
        </w:tc>
      </w:tr>
      <w:tr>
        <w:tblPrEx>
          <w:tblCellMar>
            <w:top w:w="0" w:type="dxa"/>
            <w:left w:w="0" w:type="dxa"/>
            <w:bottom w:w="0" w:type="dxa"/>
            <w:right w:w="0" w:type="dxa"/>
          </w:tblCellMar>
        </w:tblPrEx>
        <w:trPr>
          <w:trHeight w:val="982" w:hRule="atLeast"/>
        </w:trPr>
        <w:tc>
          <w:tcPr>
            <w:tcW w:w="38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szCs w:val="24"/>
                <w:lang w:val="en-US" w:eastAsia="zh-CN"/>
              </w:rPr>
            </w:pPr>
            <w:bookmarkStart w:id="10" w:name="_Toc29803285"/>
            <w:bookmarkStart w:id="11" w:name="_Toc1407342"/>
            <w:r>
              <w:rPr>
                <w:rFonts w:hint="eastAsia" w:ascii="宋体" w:hAnsi="宋体" w:cs="宋体"/>
                <w:color w:val="000000"/>
                <w:kern w:val="0"/>
                <w:sz w:val="24"/>
                <w:szCs w:val="24"/>
                <w:lang w:val="en-US" w:eastAsia="zh-CN"/>
              </w:rPr>
              <w:t>6</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10kV环网柜电缆</w:t>
            </w:r>
          </w:p>
        </w:tc>
        <w:tc>
          <w:tcPr>
            <w:tcW w:w="7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3根</w:t>
            </w:r>
          </w:p>
        </w:tc>
        <w:tc>
          <w:tcPr>
            <w:tcW w:w="27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测量绝缘电阻；（2）交流耐压试验</w:t>
            </w:r>
          </w:p>
        </w:tc>
      </w:tr>
      <w:tr>
        <w:tblPrEx>
          <w:tblCellMar>
            <w:top w:w="0" w:type="dxa"/>
            <w:left w:w="0" w:type="dxa"/>
            <w:bottom w:w="0" w:type="dxa"/>
            <w:right w:w="0" w:type="dxa"/>
          </w:tblCellMar>
        </w:tblPrEx>
        <w:trPr>
          <w:trHeight w:val="1079" w:hRule="atLeast"/>
        </w:trPr>
        <w:tc>
          <w:tcPr>
            <w:tcW w:w="38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7</w:t>
            </w:r>
          </w:p>
        </w:tc>
        <w:tc>
          <w:tcPr>
            <w:tcW w:w="11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400V低压柜</w:t>
            </w:r>
          </w:p>
        </w:tc>
        <w:tc>
          <w:tcPr>
            <w:tcW w:w="7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18台</w:t>
            </w:r>
          </w:p>
        </w:tc>
        <w:tc>
          <w:tcPr>
            <w:tcW w:w="27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（1）红外精确测温检测；（2）局部放电检测；（3）测量绝缘电阻</w:t>
            </w:r>
          </w:p>
        </w:tc>
      </w:tr>
    </w:tbl>
    <w:p>
      <w:pPr>
        <w:pStyle w:val="4"/>
        <w:keepNext w:val="0"/>
        <w:keepLines w:val="0"/>
        <w:jc w:val="right"/>
        <w:rPr>
          <w:rFonts w:hint="eastAsia" w:ascii="宋体" w:hAnsi="宋体" w:eastAsia="宋体"/>
          <w:sz w:val="28"/>
          <w:szCs w:val="28"/>
        </w:rPr>
      </w:pPr>
    </w:p>
    <w:p>
      <w:pPr>
        <w:pStyle w:val="4"/>
        <w:keepNext w:val="0"/>
        <w:keepLines w:val="0"/>
        <w:jc w:val="both"/>
        <w:rPr>
          <w:rFonts w:hint="eastAsia" w:ascii="宋体" w:hAnsi="宋体" w:eastAsia="宋体"/>
          <w:sz w:val="28"/>
          <w:szCs w:val="28"/>
        </w:rPr>
      </w:pPr>
    </w:p>
    <w:p>
      <w:pPr>
        <w:pStyle w:val="4"/>
        <w:keepNext w:val="0"/>
        <w:keepLines w:val="0"/>
        <w:jc w:val="right"/>
        <w:rPr>
          <w:rFonts w:ascii="宋体" w:hAnsi="宋体" w:eastAsia="宋体"/>
          <w:sz w:val="28"/>
          <w:szCs w:val="28"/>
        </w:rPr>
      </w:pPr>
      <w:r>
        <w:rPr>
          <w:rFonts w:hint="eastAsia" w:ascii="宋体" w:hAnsi="宋体" w:eastAsia="宋体"/>
          <w:sz w:val="28"/>
          <w:szCs w:val="28"/>
        </w:rPr>
        <w:t>投标文件（样式）</w:t>
      </w:r>
      <w:bookmarkEnd w:id="10"/>
      <w:bookmarkEnd w:id="11"/>
    </w:p>
    <w:p>
      <w:pPr>
        <w:rPr>
          <w:b/>
          <w:sz w:val="28"/>
          <w:szCs w:val="28"/>
        </w:rPr>
      </w:pPr>
    </w:p>
    <w:p>
      <w:pPr>
        <w:jc w:val="center"/>
        <w:rPr>
          <w:rFonts w:ascii="宋体" w:hAnsi="宋体"/>
          <w:sz w:val="48"/>
          <w:szCs w:val="52"/>
        </w:rPr>
      </w:pPr>
      <w:r>
        <w:rPr>
          <w:rFonts w:hint="eastAsia" w:ascii="宋体" w:hAnsi="宋体"/>
          <w:sz w:val="48"/>
          <w:szCs w:val="52"/>
        </w:rPr>
        <w:t>XX采购项目投标文件</w:t>
      </w:r>
    </w:p>
    <w:p>
      <w:pPr>
        <w:jc w:val="center"/>
        <w:rPr>
          <w:b/>
          <w:sz w:val="28"/>
          <w:szCs w:val="28"/>
        </w:rPr>
      </w:pPr>
    </w:p>
    <w:p>
      <w:pPr>
        <w:jc w:val="center"/>
        <w:rPr>
          <w:b/>
          <w:sz w:val="28"/>
          <w:szCs w:val="28"/>
        </w:rPr>
      </w:pPr>
    </w:p>
    <w:p>
      <w:pPr>
        <w:jc w:val="center"/>
        <w:rPr>
          <w:b/>
          <w:sz w:val="28"/>
          <w:szCs w:val="28"/>
        </w:rPr>
      </w:pPr>
    </w:p>
    <w:p>
      <w:pPr>
        <w:jc w:val="center"/>
        <w:rPr>
          <w:b/>
          <w:sz w:val="32"/>
          <w:szCs w:val="32"/>
        </w:rPr>
      </w:pPr>
      <w:r>
        <w:rPr>
          <w:rFonts w:hint="eastAsia"/>
          <w:b/>
          <w:sz w:val="32"/>
          <w:szCs w:val="32"/>
        </w:rPr>
        <w:t>项目</w:t>
      </w:r>
      <w:r>
        <w:rPr>
          <w:b/>
          <w:sz w:val="32"/>
          <w:szCs w:val="32"/>
        </w:rPr>
        <w:t>编号：</w:t>
      </w:r>
      <w:r>
        <w:rPr>
          <w:rFonts w:hint="eastAsia"/>
          <w:b/>
          <w:sz w:val="32"/>
          <w:szCs w:val="32"/>
        </w:rPr>
        <w:t>XXX</w:t>
      </w: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r>
        <w:rPr>
          <w:rFonts w:hint="eastAsia" w:ascii="宋体" w:hAnsi="宋体"/>
          <w:b/>
          <w:bCs/>
          <w:kern w:val="0"/>
          <w:sz w:val="30"/>
          <w:szCs w:val="30"/>
        </w:rPr>
        <w:t>投 标 人：</w:t>
      </w:r>
    </w:p>
    <w:p>
      <w:pPr>
        <w:jc w:val="center"/>
        <w:rPr>
          <w:rFonts w:ascii="宋体" w:hAnsi="宋体"/>
          <w:b/>
          <w:bCs/>
          <w:kern w:val="0"/>
          <w:sz w:val="30"/>
          <w:szCs w:val="30"/>
        </w:rPr>
      </w:pPr>
      <w:r>
        <w:rPr>
          <w:rFonts w:hint="eastAsia" w:ascii="宋体" w:hAnsi="宋体"/>
          <w:b/>
          <w:bCs/>
          <w:kern w:val="0"/>
          <w:sz w:val="30"/>
          <w:szCs w:val="30"/>
        </w:rPr>
        <w:t>联系人：          联系电话：</w:t>
      </w:r>
    </w:p>
    <w:p>
      <w:pPr>
        <w:jc w:val="center"/>
        <w:rPr>
          <w:rFonts w:ascii="宋体" w:hAnsi="宋体"/>
          <w:b/>
          <w:bCs/>
          <w:kern w:val="0"/>
          <w:sz w:val="30"/>
          <w:szCs w:val="30"/>
        </w:rPr>
      </w:pPr>
    </w:p>
    <w:p>
      <w:pPr>
        <w:jc w:val="center"/>
        <w:rPr>
          <w:rFonts w:ascii="宋体" w:hAnsi="宋体"/>
          <w:b/>
          <w:bCs/>
          <w:kern w:val="0"/>
          <w:sz w:val="30"/>
          <w:szCs w:val="30"/>
        </w:rPr>
      </w:pPr>
    </w:p>
    <w:p>
      <w:pPr>
        <w:jc w:val="center"/>
        <w:rPr>
          <w:b/>
          <w:bCs/>
          <w:sz w:val="30"/>
          <w:lang w:bidi="he-IL"/>
        </w:rPr>
      </w:pPr>
      <w:r>
        <w:rPr>
          <w:b/>
          <w:bCs/>
          <w:sz w:val="30"/>
          <w:lang w:bidi="he-IL"/>
        </w:rPr>
        <w:t>年月</w:t>
      </w:r>
      <w:r>
        <w:rPr>
          <w:rFonts w:hint="eastAsia"/>
          <w:b/>
          <w:bCs/>
          <w:sz w:val="30"/>
          <w:lang w:bidi="he-IL"/>
        </w:rPr>
        <w:t>日</w:t>
      </w:r>
    </w:p>
    <w:p>
      <w:pPr>
        <w:jc w:val="center"/>
        <w:rPr>
          <w:b/>
          <w:bCs/>
          <w:sz w:val="30"/>
          <w:lang w:bidi="he-IL"/>
        </w:rPr>
      </w:pPr>
    </w:p>
    <w:p>
      <w:pPr>
        <w:jc w:val="center"/>
        <w:rPr>
          <w:b/>
          <w:bCs/>
          <w:sz w:val="30"/>
          <w:lang w:bidi="he-IL"/>
        </w:rPr>
      </w:pPr>
    </w:p>
    <w:p>
      <w:pPr>
        <w:jc w:val="center"/>
        <w:rPr>
          <w:b/>
          <w:bCs/>
          <w:sz w:val="30"/>
          <w:lang w:bidi="he-IL"/>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pStyle w:val="11"/>
        <w:rPr>
          <w:color w:val="000000"/>
          <w:sz w:val="32"/>
        </w:rPr>
      </w:pPr>
      <w:r>
        <w:rPr>
          <w:rFonts w:hint="eastAsia"/>
          <w:color w:val="000000"/>
          <w:sz w:val="32"/>
        </w:rPr>
        <w:t>投标文件资料目录</w:t>
      </w:r>
    </w:p>
    <w:tbl>
      <w:tblPr>
        <w:tblStyle w:val="16"/>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7052"/>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vAlign w:val="center"/>
          </w:tcPr>
          <w:p>
            <w:pPr>
              <w:spacing w:line="400" w:lineRule="exact"/>
              <w:jc w:val="center"/>
              <w:rPr>
                <w:rFonts w:hint="eastAsia" w:ascii="宋体" w:hAnsi="宋体" w:eastAsia="宋体"/>
                <w:b/>
                <w:color w:val="000000"/>
                <w:sz w:val="24"/>
                <w:lang w:val="en-US" w:eastAsia="zh-CN"/>
              </w:rPr>
            </w:pPr>
            <w:r>
              <w:rPr>
                <w:rFonts w:hint="eastAsia" w:ascii="宋体" w:hAnsi="宋体"/>
                <w:b/>
                <w:color w:val="000000"/>
                <w:sz w:val="24"/>
                <w:lang w:val="en-US" w:eastAsia="zh-CN"/>
              </w:rPr>
              <w:t>一</w:t>
            </w:r>
          </w:p>
        </w:tc>
        <w:tc>
          <w:tcPr>
            <w:tcW w:w="7052" w:type="dxa"/>
            <w:vAlign w:val="center"/>
          </w:tcPr>
          <w:p>
            <w:pPr>
              <w:spacing w:line="400" w:lineRule="exact"/>
              <w:jc w:val="center"/>
              <w:rPr>
                <w:rFonts w:ascii="宋体" w:hAnsi="宋体"/>
                <w:b/>
                <w:color w:val="000000"/>
                <w:sz w:val="24"/>
              </w:rPr>
            </w:pPr>
            <w:r>
              <w:rPr>
                <w:rFonts w:ascii="??_GB2312" w:eastAsia="Times New Roman"/>
                <w:b/>
                <w:sz w:val="30"/>
                <w:szCs w:val="30"/>
              </w:rPr>
              <w:t>营业执照等资质复印件</w:t>
            </w:r>
          </w:p>
        </w:tc>
        <w:tc>
          <w:tcPr>
            <w:tcW w:w="1166" w:type="dxa"/>
            <w:vAlign w:val="center"/>
          </w:tcPr>
          <w:p>
            <w:pPr>
              <w:spacing w:line="400" w:lineRule="exact"/>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vAlign w:val="center"/>
          </w:tcPr>
          <w:p>
            <w:pPr>
              <w:jc w:val="center"/>
              <w:rPr>
                <w:rFonts w:hint="eastAsia" w:eastAsia="宋体"/>
                <w:color w:val="000000"/>
                <w:sz w:val="24"/>
                <w:lang w:val="en-US" w:eastAsia="zh-CN"/>
              </w:rPr>
            </w:pPr>
            <w:r>
              <w:rPr>
                <w:rFonts w:hint="eastAsia"/>
                <w:color w:val="000000"/>
                <w:sz w:val="24"/>
                <w:lang w:val="en-US" w:eastAsia="zh-CN"/>
              </w:rPr>
              <w:t>二</w:t>
            </w:r>
          </w:p>
        </w:tc>
        <w:tc>
          <w:tcPr>
            <w:tcW w:w="7052" w:type="dxa"/>
            <w:vAlign w:val="center"/>
          </w:tcPr>
          <w:p>
            <w:pPr>
              <w:jc w:val="center"/>
              <w:rPr>
                <w:color w:val="000000"/>
                <w:u w:val="single"/>
              </w:rPr>
            </w:pPr>
            <w:r>
              <w:rPr>
                <w:rFonts w:hint="eastAsia" w:ascii="??_GB2312"/>
                <w:b/>
                <w:sz w:val="30"/>
                <w:szCs w:val="30"/>
              </w:rPr>
              <w:t>授权委托书</w:t>
            </w:r>
          </w:p>
        </w:tc>
        <w:tc>
          <w:tcPr>
            <w:tcW w:w="1166" w:type="dxa"/>
            <w:vAlign w:val="center"/>
          </w:tcPr>
          <w:p>
            <w:pPr>
              <w:spacing w:line="36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vAlign w:val="center"/>
          </w:tcPr>
          <w:p>
            <w:pPr>
              <w:jc w:val="center"/>
              <w:rPr>
                <w:rFonts w:hint="eastAsia" w:eastAsia="宋体"/>
                <w:bCs/>
                <w:color w:val="000000"/>
                <w:sz w:val="24"/>
                <w:lang w:val="en-US" w:eastAsia="zh-CN"/>
              </w:rPr>
            </w:pPr>
            <w:r>
              <w:rPr>
                <w:rFonts w:hint="eastAsia"/>
                <w:bCs/>
                <w:color w:val="000000"/>
                <w:sz w:val="24"/>
                <w:lang w:val="en-US" w:eastAsia="zh-CN"/>
              </w:rPr>
              <w:t>三</w:t>
            </w:r>
          </w:p>
        </w:tc>
        <w:tc>
          <w:tcPr>
            <w:tcW w:w="7052" w:type="dxa"/>
            <w:vAlign w:val="center"/>
          </w:tcPr>
          <w:p>
            <w:pPr>
              <w:rPr>
                <w:bCs/>
                <w:color w:val="000000"/>
                <w:sz w:val="24"/>
              </w:rPr>
            </w:pPr>
          </w:p>
        </w:tc>
        <w:tc>
          <w:tcPr>
            <w:tcW w:w="1166" w:type="dxa"/>
            <w:vAlign w:val="center"/>
          </w:tcPr>
          <w:p>
            <w:pPr>
              <w:spacing w:line="36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vAlign w:val="center"/>
          </w:tcPr>
          <w:p>
            <w:pPr>
              <w:jc w:val="center"/>
              <w:rPr>
                <w:rFonts w:hint="eastAsia" w:eastAsia="宋体"/>
                <w:bCs/>
                <w:color w:val="000000"/>
                <w:sz w:val="24"/>
                <w:lang w:val="en-US" w:eastAsia="zh-CN"/>
              </w:rPr>
            </w:pPr>
            <w:r>
              <w:rPr>
                <w:rFonts w:hint="eastAsia"/>
                <w:bCs/>
                <w:color w:val="000000"/>
                <w:sz w:val="24"/>
                <w:lang w:val="en-US" w:eastAsia="zh-CN"/>
              </w:rPr>
              <w:t>四</w:t>
            </w:r>
          </w:p>
        </w:tc>
        <w:tc>
          <w:tcPr>
            <w:tcW w:w="7052" w:type="dxa"/>
            <w:vAlign w:val="center"/>
          </w:tcPr>
          <w:p>
            <w:pPr>
              <w:rPr>
                <w:bCs/>
                <w:color w:val="000000"/>
                <w:sz w:val="24"/>
              </w:rPr>
            </w:pPr>
          </w:p>
        </w:tc>
        <w:tc>
          <w:tcPr>
            <w:tcW w:w="1166" w:type="dxa"/>
            <w:vAlign w:val="center"/>
          </w:tcPr>
          <w:p>
            <w:pPr>
              <w:spacing w:line="36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vAlign w:val="center"/>
          </w:tcPr>
          <w:p>
            <w:pPr>
              <w:jc w:val="center"/>
              <w:rPr>
                <w:rFonts w:hint="eastAsia" w:eastAsia="宋体"/>
                <w:color w:val="000000"/>
                <w:sz w:val="24"/>
                <w:lang w:val="en-US" w:eastAsia="zh-CN"/>
              </w:rPr>
            </w:pPr>
            <w:r>
              <w:rPr>
                <w:rFonts w:hint="eastAsia"/>
                <w:color w:val="000000"/>
                <w:sz w:val="24"/>
                <w:lang w:val="en-US" w:eastAsia="zh-CN"/>
              </w:rPr>
              <w:t>五</w:t>
            </w:r>
          </w:p>
        </w:tc>
        <w:tc>
          <w:tcPr>
            <w:tcW w:w="7052" w:type="dxa"/>
            <w:vAlign w:val="center"/>
          </w:tcPr>
          <w:p>
            <w:pPr>
              <w:rPr>
                <w:bCs/>
                <w:color w:val="000000"/>
                <w:sz w:val="24"/>
              </w:rPr>
            </w:pPr>
          </w:p>
        </w:tc>
        <w:tc>
          <w:tcPr>
            <w:tcW w:w="1166" w:type="dxa"/>
            <w:vAlign w:val="center"/>
          </w:tcPr>
          <w:p>
            <w:pPr>
              <w:spacing w:line="36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vAlign w:val="center"/>
          </w:tcPr>
          <w:p>
            <w:pPr>
              <w:jc w:val="center"/>
              <w:rPr>
                <w:rFonts w:hint="eastAsia" w:eastAsia="宋体"/>
                <w:bCs/>
                <w:color w:val="000000"/>
                <w:sz w:val="24"/>
                <w:lang w:val="en-US" w:eastAsia="zh-CN"/>
              </w:rPr>
            </w:pPr>
            <w:r>
              <w:rPr>
                <w:rFonts w:hint="eastAsia"/>
                <w:bCs/>
                <w:color w:val="000000"/>
                <w:sz w:val="24"/>
                <w:lang w:val="en-US" w:eastAsia="zh-CN"/>
              </w:rPr>
              <w:t>六</w:t>
            </w:r>
          </w:p>
        </w:tc>
        <w:tc>
          <w:tcPr>
            <w:tcW w:w="7052" w:type="dxa"/>
            <w:vAlign w:val="center"/>
          </w:tcPr>
          <w:p>
            <w:pPr>
              <w:rPr>
                <w:color w:val="000000"/>
                <w:sz w:val="24"/>
              </w:rPr>
            </w:pPr>
          </w:p>
        </w:tc>
        <w:tc>
          <w:tcPr>
            <w:tcW w:w="1166" w:type="dxa"/>
            <w:vAlign w:val="center"/>
          </w:tcPr>
          <w:p>
            <w:pPr>
              <w:spacing w:line="36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vAlign w:val="center"/>
          </w:tcPr>
          <w:p>
            <w:pPr>
              <w:jc w:val="center"/>
              <w:rPr>
                <w:rFonts w:hint="eastAsia" w:eastAsia="宋体"/>
                <w:color w:val="000000"/>
                <w:sz w:val="24"/>
                <w:lang w:val="en-US" w:eastAsia="zh-CN"/>
              </w:rPr>
            </w:pPr>
            <w:r>
              <w:rPr>
                <w:rFonts w:hint="eastAsia"/>
                <w:color w:val="000000"/>
                <w:sz w:val="24"/>
                <w:lang w:val="en-US" w:eastAsia="zh-CN"/>
              </w:rPr>
              <w:t>七</w:t>
            </w:r>
          </w:p>
        </w:tc>
        <w:tc>
          <w:tcPr>
            <w:tcW w:w="7052" w:type="dxa"/>
            <w:vAlign w:val="center"/>
          </w:tcPr>
          <w:p>
            <w:pPr>
              <w:spacing w:line="360" w:lineRule="auto"/>
              <w:rPr>
                <w:rFonts w:ascii="宋体" w:hAnsi="宋体"/>
                <w:b/>
                <w:sz w:val="28"/>
                <w:szCs w:val="28"/>
              </w:rPr>
            </w:pPr>
          </w:p>
        </w:tc>
        <w:tc>
          <w:tcPr>
            <w:tcW w:w="1166" w:type="dxa"/>
            <w:vAlign w:val="center"/>
          </w:tcPr>
          <w:p>
            <w:pPr>
              <w:spacing w:line="36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vAlign w:val="center"/>
          </w:tcPr>
          <w:p>
            <w:pPr>
              <w:jc w:val="center"/>
              <w:rPr>
                <w:rFonts w:hint="eastAsia" w:eastAsia="宋体"/>
                <w:color w:val="000000"/>
                <w:sz w:val="24"/>
                <w:lang w:val="en-US" w:eastAsia="zh-CN"/>
              </w:rPr>
            </w:pPr>
            <w:r>
              <w:rPr>
                <w:rFonts w:hint="eastAsia"/>
                <w:color w:val="000000"/>
                <w:sz w:val="24"/>
                <w:lang w:val="en-US" w:eastAsia="zh-CN"/>
              </w:rPr>
              <w:t>八</w:t>
            </w:r>
          </w:p>
        </w:tc>
        <w:tc>
          <w:tcPr>
            <w:tcW w:w="7052" w:type="dxa"/>
            <w:vAlign w:val="center"/>
          </w:tcPr>
          <w:p>
            <w:pPr>
              <w:tabs>
                <w:tab w:val="left" w:pos="630"/>
              </w:tabs>
              <w:spacing w:line="360" w:lineRule="auto"/>
              <w:rPr>
                <w:color w:val="000000"/>
                <w:sz w:val="24"/>
              </w:rPr>
            </w:pPr>
          </w:p>
        </w:tc>
        <w:tc>
          <w:tcPr>
            <w:tcW w:w="1166" w:type="dxa"/>
            <w:vAlign w:val="center"/>
          </w:tcPr>
          <w:p>
            <w:pPr>
              <w:spacing w:line="36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vAlign w:val="center"/>
          </w:tcPr>
          <w:p>
            <w:pPr>
              <w:jc w:val="center"/>
              <w:rPr>
                <w:rFonts w:hint="eastAsia" w:eastAsia="宋体"/>
                <w:color w:val="000000"/>
                <w:sz w:val="24"/>
                <w:lang w:val="en-US" w:eastAsia="zh-CN"/>
              </w:rPr>
            </w:pPr>
            <w:r>
              <w:rPr>
                <w:rFonts w:hint="eastAsia"/>
                <w:color w:val="000000"/>
                <w:sz w:val="24"/>
                <w:lang w:val="en-US" w:eastAsia="zh-CN"/>
              </w:rPr>
              <w:t>九</w:t>
            </w:r>
          </w:p>
        </w:tc>
        <w:tc>
          <w:tcPr>
            <w:tcW w:w="7052" w:type="dxa"/>
            <w:vAlign w:val="center"/>
          </w:tcPr>
          <w:p>
            <w:pPr>
              <w:rPr>
                <w:color w:val="000000"/>
                <w:sz w:val="24"/>
              </w:rPr>
            </w:pPr>
          </w:p>
        </w:tc>
        <w:tc>
          <w:tcPr>
            <w:tcW w:w="1166" w:type="dxa"/>
            <w:vAlign w:val="center"/>
          </w:tcPr>
          <w:p>
            <w:pPr>
              <w:spacing w:line="36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vAlign w:val="center"/>
          </w:tcPr>
          <w:p>
            <w:pPr>
              <w:jc w:val="center"/>
              <w:rPr>
                <w:color w:val="000000"/>
                <w:sz w:val="24"/>
              </w:rPr>
            </w:pPr>
          </w:p>
        </w:tc>
        <w:tc>
          <w:tcPr>
            <w:tcW w:w="7052" w:type="dxa"/>
            <w:vAlign w:val="center"/>
          </w:tcPr>
          <w:p>
            <w:pPr>
              <w:rPr>
                <w:color w:val="000000"/>
                <w:sz w:val="24"/>
              </w:rPr>
            </w:pPr>
          </w:p>
        </w:tc>
        <w:tc>
          <w:tcPr>
            <w:tcW w:w="1166" w:type="dxa"/>
            <w:vAlign w:val="center"/>
          </w:tcPr>
          <w:p>
            <w:pPr>
              <w:spacing w:line="36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vAlign w:val="center"/>
          </w:tcPr>
          <w:p>
            <w:pPr>
              <w:jc w:val="center"/>
              <w:rPr>
                <w:color w:val="000000"/>
                <w:sz w:val="24"/>
              </w:rPr>
            </w:pPr>
          </w:p>
        </w:tc>
        <w:tc>
          <w:tcPr>
            <w:tcW w:w="7052" w:type="dxa"/>
            <w:vAlign w:val="center"/>
          </w:tcPr>
          <w:p>
            <w:pPr>
              <w:rPr>
                <w:color w:val="000000"/>
                <w:sz w:val="24"/>
              </w:rPr>
            </w:pPr>
          </w:p>
        </w:tc>
        <w:tc>
          <w:tcPr>
            <w:tcW w:w="1166" w:type="dxa"/>
            <w:vAlign w:val="center"/>
          </w:tcPr>
          <w:p>
            <w:pPr>
              <w:spacing w:line="360" w:lineRule="auto"/>
              <w:jc w:val="center"/>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35" w:type="dxa"/>
            <w:vAlign w:val="center"/>
          </w:tcPr>
          <w:p>
            <w:pPr>
              <w:jc w:val="center"/>
              <w:rPr>
                <w:color w:val="000000"/>
                <w:sz w:val="24"/>
              </w:rPr>
            </w:pPr>
          </w:p>
        </w:tc>
        <w:tc>
          <w:tcPr>
            <w:tcW w:w="7052" w:type="dxa"/>
            <w:vAlign w:val="center"/>
          </w:tcPr>
          <w:p>
            <w:pPr>
              <w:rPr>
                <w:color w:val="000000"/>
                <w:sz w:val="24"/>
              </w:rPr>
            </w:pPr>
          </w:p>
        </w:tc>
        <w:tc>
          <w:tcPr>
            <w:tcW w:w="1166" w:type="dxa"/>
            <w:vAlign w:val="center"/>
          </w:tcPr>
          <w:p>
            <w:pPr>
              <w:spacing w:line="360" w:lineRule="auto"/>
              <w:jc w:val="center"/>
              <w:rPr>
                <w:rFonts w:ascii="宋体" w:hAnsi="宋体"/>
                <w:b/>
                <w:color w:val="000000"/>
                <w:sz w:val="24"/>
              </w:rPr>
            </w:pPr>
          </w:p>
        </w:tc>
      </w:tr>
    </w:tbl>
    <w:p>
      <w:pPr>
        <w:jc w:val="center"/>
        <w:rPr>
          <w:b/>
          <w:sz w:val="36"/>
          <w:szCs w:val="36"/>
        </w:rPr>
      </w:pPr>
    </w:p>
    <w:p>
      <w:pPr>
        <w:jc w:val="center"/>
        <w:rPr>
          <w:b/>
          <w:sz w:val="36"/>
          <w:szCs w:val="36"/>
        </w:rPr>
      </w:pPr>
    </w:p>
    <w:p>
      <w:pPr>
        <w:jc w:val="center"/>
        <w:rPr>
          <w:b/>
          <w:sz w:val="36"/>
          <w:szCs w:val="36"/>
        </w:rPr>
      </w:pPr>
    </w:p>
    <w:p>
      <w:pPr>
        <w:pStyle w:val="4"/>
        <w:keepNext w:val="0"/>
        <w:keepLines w:val="0"/>
        <w:jc w:val="center"/>
        <w:rPr>
          <w:rFonts w:ascii="宋体" w:hAnsi="宋体" w:eastAsia="宋体"/>
        </w:rPr>
      </w:pPr>
    </w:p>
    <w:p/>
    <w:p>
      <w:pPr>
        <w:pStyle w:val="4"/>
        <w:keepNext w:val="0"/>
        <w:keepLines w:val="0"/>
        <w:jc w:val="center"/>
        <w:rPr>
          <w:rFonts w:ascii="宋体" w:hAnsi="宋体" w:eastAsia="宋体"/>
        </w:rPr>
      </w:pPr>
    </w:p>
    <w:p/>
    <w:p/>
    <w:p/>
    <w:p/>
    <w:p/>
    <w:p>
      <w:pPr>
        <w:pStyle w:val="4"/>
        <w:keepNext w:val="0"/>
        <w:keepLines w:val="0"/>
        <w:jc w:val="center"/>
        <w:rPr>
          <w:rFonts w:ascii="宋体" w:hAnsi="宋体" w:eastAsia="宋体"/>
        </w:rPr>
      </w:pPr>
      <w:bookmarkStart w:id="12" w:name="_Toc1407343"/>
      <w:bookmarkStart w:id="13" w:name="_Toc2580371"/>
      <w:bookmarkStart w:id="14" w:name="_Toc29803286"/>
      <w:bookmarkStart w:id="15" w:name="_Toc2580731"/>
      <w:r>
        <w:rPr>
          <w:rFonts w:ascii="宋体" w:hAnsi="宋体" w:eastAsia="宋体"/>
        </w:rPr>
        <w:t>投标承诺书</w:t>
      </w:r>
      <w:bookmarkEnd w:id="7"/>
      <w:bookmarkEnd w:id="8"/>
      <w:bookmarkEnd w:id="12"/>
      <w:bookmarkEnd w:id="13"/>
      <w:bookmarkEnd w:id="14"/>
      <w:bookmarkEnd w:id="15"/>
    </w:p>
    <w:p>
      <w:pPr>
        <w:pStyle w:val="10"/>
        <w:rPr>
          <w:rFonts w:ascii="宋体" w:hAnsi="宋体" w:eastAsia="宋体"/>
          <w:b w:val="0"/>
          <w:sz w:val="24"/>
          <w:szCs w:val="24"/>
        </w:rPr>
      </w:pPr>
      <w:r>
        <w:rPr>
          <w:rFonts w:hint="eastAsia" w:ascii="宋体" w:hAnsi="宋体" w:eastAsia="宋体"/>
          <w:b w:val="0"/>
          <w:sz w:val="24"/>
          <w:szCs w:val="24"/>
        </w:rPr>
        <w:t>致：</w:t>
      </w:r>
    </w:p>
    <w:p>
      <w:pPr>
        <w:pStyle w:val="10"/>
        <w:ind w:firstLine="480" w:firstLineChars="200"/>
        <w:rPr>
          <w:rFonts w:ascii="宋体" w:hAnsi="宋体" w:eastAsia="宋体"/>
          <w:b w:val="0"/>
          <w:sz w:val="24"/>
          <w:szCs w:val="24"/>
        </w:rPr>
      </w:pPr>
      <w:r>
        <w:rPr>
          <w:rFonts w:hint="eastAsia" w:ascii="宋体" w:hAnsi="宋体" w:eastAsia="宋体"/>
          <w:b w:val="0"/>
          <w:sz w:val="24"/>
          <w:szCs w:val="24"/>
        </w:rPr>
        <w:t>根据</w:t>
      </w:r>
      <w:r>
        <w:rPr>
          <w:rFonts w:hint="eastAsia" w:ascii="宋体" w:hAnsi="宋体" w:eastAsia="宋体"/>
          <w:b w:val="0"/>
          <w:sz w:val="24"/>
          <w:szCs w:val="24"/>
          <w:lang w:eastAsia="zh-CN"/>
        </w:rPr>
        <w:t>贵单位</w:t>
      </w:r>
      <w:r>
        <w:rPr>
          <w:rFonts w:hint="eastAsia" w:ascii="宋体" w:hAnsi="宋体" w:eastAsia="宋体"/>
          <w:b w:val="0"/>
          <w:sz w:val="24"/>
          <w:szCs w:val="24"/>
        </w:rPr>
        <w:t>招标公告，我单位正式授权</w:t>
      </w:r>
      <w:r>
        <w:rPr>
          <w:rFonts w:hint="eastAsia" w:ascii="宋体" w:hAnsi="宋体" w:eastAsia="宋体"/>
          <w:b w:val="0"/>
          <w:sz w:val="24"/>
          <w:szCs w:val="24"/>
          <w:u w:val="single"/>
        </w:rPr>
        <w:t xml:space="preserve"> X X X </w:t>
      </w:r>
      <w:r>
        <w:rPr>
          <w:rFonts w:hint="eastAsia" w:ascii="宋体" w:hAnsi="宋体" w:eastAsia="宋体"/>
          <w:b w:val="0"/>
          <w:sz w:val="24"/>
          <w:szCs w:val="24"/>
        </w:rPr>
        <w:t>代表我单位参加</w:t>
      </w:r>
      <w:r>
        <w:rPr>
          <w:rFonts w:hint="eastAsia" w:ascii="宋体" w:hAnsi="宋体" w:eastAsia="宋体"/>
          <w:b w:val="0"/>
          <w:sz w:val="24"/>
          <w:szCs w:val="24"/>
          <w:lang w:val="en-US" w:eastAsia="zh-CN"/>
        </w:rPr>
        <w:t xml:space="preserve"> </w:t>
      </w:r>
      <w:r>
        <w:rPr>
          <w:rFonts w:hint="eastAsia" w:ascii="宋体" w:hAnsi="宋体" w:eastAsia="宋体"/>
          <w:b w:val="0"/>
          <w:sz w:val="24"/>
          <w:szCs w:val="24"/>
          <w:lang w:eastAsia="zh-CN"/>
        </w:rPr>
        <w:t>贵单位</w:t>
      </w:r>
      <w:r>
        <w:rPr>
          <w:rFonts w:hint="eastAsia" w:ascii="宋体" w:hAnsi="宋体" w:eastAsia="宋体"/>
          <w:b w:val="0"/>
          <w:sz w:val="24"/>
          <w:szCs w:val="24"/>
          <w:lang w:val="en-US" w:eastAsia="zh-CN"/>
        </w:rPr>
        <w:t xml:space="preserve"> </w:t>
      </w:r>
      <w:r>
        <w:rPr>
          <w:rFonts w:hint="eastAsia" w:ascii="宋体" w:hAnsi="宋体" w:eastAsia="宋体"/>
          <w:b w:val="0"/>
          <w:sz w:val="24"/>
          <w:szCs w:val="24"/>
        </w:rPr>
        <w:t>组织的</w:t>
      </w:r>
      <w:r>
        <w:rPr>
          <w:rFonts w:hint="eastAsia" w:ascii="宋体" w:hAnsi="宋体" w:eastAsia="宋体"/>
          <w:b w:val="0"/>
          <w:sz w:val="24"/>
          <w:szCs w:val="24"/>
          <w:u w:val="single"/>
        </w:rPr>
        <w:t xml:space="preserve"> X X X采购项目 </w:t>
      </w:r>
      <w:r>
        <w:rPr>
          <w:rFonts w:hint="eastAsia" w:ascii="宋体" w:hAnsi="宋体" w:eastAsia="宋体"/>
          <w:b w:val="0"/>
          <w:sz w:val="24"/>
          <w:szCs w:val="24"/>
        </w:rPr>
        <w:t>并全权处理本项目招投标的有关事宜。在参加该项目招投标过程中，本单位及所属员工郑重承诺：</w:t>
      </w:r>
    </w:p>
    <w:p>
      <w:pPr>
        <w:pStyle w:val="10"/>
        <w:ind w:firstLine="480" w:firstLineChars="200"/>
        <w:rPr>
          <w:rFonts w:ascii="宋体" w:hAnsi="宋体" w:eastAsia="宋体"/>
          <w:b w:val="0"/>
          <w:sz w:val="24"/>
          <w:szCs w:val="24"/>
        </w:rPr>
      </w:pPr>
      <w:r>
        <w:rPr>
          <w:rFonts w:hint="eastAsia" w:ascii="宋体" w:hAnsi="宋体" w:eastAsia="宋体"/>
          <w:b w:val="0"/>
          <w:sz w:val="24"/>
          <w:szCs w:val="24"/>
        </w:rPr>
        <w:t>一、将遵循诚实信用的原则，自愿参加该项目的投标；</w:t>
      </w:r>
    </w:p>
    <w:p>
      <w:pPr>
        <w:pStyle w:val="10"/>
        <w:ind w:firstLine="480" w:firstLineChars="200"/>
        <w:rPr>
          <w:rFonts w:ascii="宋体" w:hAnsi="宋体" w:eastAsia="宋体"/>
          <w:b w:val="0"/>
          <w:sz w:val="24"/>
          <w:szCs w:val="24"/>
        </w:rPr>
      </w:pPr>
      <w:r>
        <w:rPr>
          <w:rFonts w:hint="eastAsia" w:ascii="宋体" w:hAnsi="宋体" w:eastAsia="宋体"/>
          <w:b w:val="0"/>
          <w:sz w:val="24"/>
          <w:szCs w:val="24"/>
        </w:rPr>
        <w:t>二、所提供的一切材料都是真实、有效、合法的，所供产品为正规渠道产品并符合国家相关标准；</w:t>
      </w:r>
    </w:p>
    <w:p>
      <w:pPr>
        <w:pStyle w:val="10"/>
        <w:ind w:firstLine="480" w:firstLineChars="200"/>
        <w:rPr>
          <w:rFonts w:ascii="宋体" w:hAnsi="宋体" w:eastAsia="宋体"/>
          <w:b w:val="0"/>
          <w:sz w:val="24"/>
          <w:szCs w:val="24"/>
        </w:rPr>
      </w:pPr>
      <w:r>
        <w:rPr>
          <w:rFonts w:hint="eastAsia" w:ascii="宋体" w:hAnsi="宋体" w:eastAsia="宋体"/>
          <w:b w:val="0"/>
          <w:sz w:val="24"/>
          <w:szCs w:val="24"/>
        </w:rPr>
        <w:t>三、不出借、转让资质证书，让他人挂靠投标，不以他人名义投标或者以其他方式弄虚作假，骗取中标；</w:t>
      </w:r>
    </w:p>
    <w:p>
      <w:pPr>
        <w:pStyle w:val="10"/>
        <w:ind w:firstLine="480" w:firstLineChars="200"/>
        <w:rPr>
          <w:rFonts w:ascii="宋体" w:hAnsi="宋体" w:eastAsia="宋体"/>
          <w:b w:val="0"/>
          <w:sz w:val="24"/>
          <w:szCs w:val="24"/>
        </w:rPr>
      </w:pPr>
      <w:r>
        <w:rPr>
          <w:rFonts w:hint="eastAsia" w:ascii="宋体" w:hAnsi="宋体" w:eastAsia="宋体"/>
          <w:b w:val="0"/>
          <w:sz w:val="24"/>
          <w:szCs w:val="24"/>
        </w:rPr>
        <w:t>四、不与其他投标人相互串通投标报价，不排挤其他投标人的公平竞争、损害其合法权益；</w:t>
      </w:r>
    </w:p>
    <w:p>
      <w:pPr>
        <w:pStyle w:val="10"/>
        <w:ind w:firstLine="480" w:firstLineChars="200"/>
        <w:rPr>
          <w:rFonts w:ascii="宋体" w:hAnsi="宋体" w:eastAsia="宋体"/>
          <w:b w:val="0"/>
          <w:sz w:val="24"/>
          <w:szCs w:val="24"/>
        </w:rPr>
      </w:pPr>
      <w:r>
        <w:rPr>
          <w:rFonts w:hint="eastAsia" w:ascii="宋体" w:hAnsi="宋体" w:eastAsia="宋体"/>
          <w:b w:val="0"/>
          <w:sz w:val="24"/>
          <w:szCs w:val="24"/>
        </w:rPr>
        <w:t>五、不与招标人或者招标代理机构串通投标，损害国家利益、社会公共利益或者他人的合法权益；</w:t>
      </w:r>
    </w:p>
    <w:p>
      <w:pPr>
        <w:pStyle w:val="10"/>
        <w:ind w:firstLine="480" w:firstLineChars="200"/>
        <w:rPr>
          <w:rFonts w:ascii="宋体" w:hAnsi="宋体" w:eastAsia="宋体"/>
          <w:b w:val="0"/>
          <w:sz w:val="24"/>
          <w:szCs w:val="24"/>
        </w:rPr>
      </w:pPr>
      <w:r>
        <w:rPr>
          <w:rFonts w:hint="eastAsia" w:ascii="宋体" w:hAnsi="宋体" w:eastAsia="宋体"/>
          <w:b w:val="0"/>
          <w:sz w:val="24"/>
          <w:szCs w:val="24"/>
        </w:rPr>
        <w:t>六、不以违法违规行为牟取中标；</w:t>
      </w:r>
    </w:p>
    <w:p>
      <w:pPr>
        <w:pStyle w:val="10"/>
        <w:ind w:firstLine="480" w:firstLineChars="200"/>
        <w:rPr>
          <w:rFonts w:ascii="宋体" w:hAnsi="宋体" w:eastAsia="宋体"/>
          <w:b w:val="0"/>
          <w:sz w:val="24"/>
          <w:szCs w:val="24"/>
        </w:rPr>
      </w:pPr>
      <w:r>
        <w:rPr>
          <w:rFonts w:hint="eastAsia" w:ascii="宋体" w:hAnsi="宋体" w:eastAsia="宋体"/>
          <w:b w:val="0"/>
          <w:sz w:val="24"/>
          <w:szCs w:val="24"/>
        </w:rPr>
        <w:t>七、保证中标后不转包，保证提供相关产品授权并及时供货，否则愿意承担 “不诚信名单”等处罚；</w:t>
      </w:r>
    </w:p>
    <w:p>
      <w:pPr>
        <w:ind w:firstLine="480" w:firstLineChars="200"/>
        <w:rPr>
          <w:rFonts w:ascii="宋体" w:hAnsi="宋体"/>
          <w:bCs/>
          <w:sz w:val="24"/>
        </w:rPr>
      </w:pPr>
      <w:r>
        <w:rPr>
          <w:rFonts w:hint="eastAsia" w:ascii="宋体" w:hAnsi="宋体"/>
          <w:bCs/>
          <w:sz w:val="24"/>
        </w:rPr>
        <w:t>八、保证</w:t>
      </w:r>
      <w:r>
        <w:rPr>
          <w:rFonts w:ascii="宋体" w:hAnsi="宋体"/>
          <w:bCs/>
          <w:sz w:val="24"/>
        </w:rPr>
        <w:t>前三年内，本公司在经营活动中没有重大违法记录，没有因违法经营受到刑事处罚或者责令停产停业、吊销许可证或者执照、较大数额罚款等行政处罚</w:t>
      </w:r>
      <w:r>
        <w:rPr>
          <w:rFonts w:hint="eastAsia" w:ascii="宋体" w:hAnsi="宋体"/>
          <w:bCs/>
          <w:sz w:val="24"/>
        </w:rPr>
        <w:t>；</w:t>
      </w:r>
    </w:p>
    <w:p>
      <w:pPr>
        <w:pStyle w:val="10"/>
        <w:ind w:firstLine="480" w:firstLineChars="200"/>
        <w:rPr>
          <w:rFonts w:ascii="宋体" w:hAnsi="宋体" w:eastAsia="宋体"/>
          <w:b w:val="0"/>
          <w:sz w:val="24"/>
          <w:szCs w:val="24"/>
        </w:rPr>
      </w:pPr>
      <w:r>
        <w:rPr>
          <w:rFonts w:hint="eastAsia" w:ascii="宋体" w:hAnsi="宋体" w:eastAsia="宋体"/>
          <w:b w:val="0"/>
          <w:sz w:val="24"/>
          <w:szCs w:val="24"/>
        </w:rPr>
        <w:t>九、我方将按照招标文件规定的各项要求，制定投标文件，并在招标公告要求的时限内送交投标文件；</w:t>
      </w:r>
    </w:p>
    <w:p>
      <w:pPr>
        <w:pStyle w:val="10"/>
        <w:ind w:firstLine="480" w:firstLineChars="200"/>
        <w:rPr>
          <w:rFonts w:ascii="宋体" w:hAnsi="宋体" w:eastAsia="宋体"/>
          <w:b w:val="0"/>
          <w:sz w:val="24"/>
          <w:szCs w:val="24"/>
        </w:rPr>
      </w:pPr>
      <w:r>
        <w:rPr>
          <w:rFonts w:hint="eastAsia" w:ascii="宋体" w:hAnsi="宋体" w:eastAsia="宋体"/>
          <w:b w:val="0"/>
          <w:sz w:val="24"/>
          <w:szCs w:val="24"/>
        </w:rPr>
        <w:t>十、一旦我方中标，我方将严格履行合同规定的责任和义务，保证在合同约定的时间内完成本项目的施工、安装、调试，并交付</w:t>
      </w:r>
      <w:r>
        <w:rPr>
          <w:rFonts w:hint="eastAsia" w:ascii="宋体" w:hAnsi="宋体" w:eastAsia="宋体"/>
          <w:b w:val="0"/>
          <w:sz w:val="24"/>
          <w:szCs w:val="24"/>
          <w:lang w:val="en-US" w:eastAsia="zh-CN"/>
        </w:rPr>
        <w:t xml:space="preserve">  </w:t>
      </w:r>
      <w:r>
        <w:rPr>
          <w:rFonts w:hint="eastAsia" w:ascii="宋体" w:hAnsi="宋体" w:eastAsia="宋体"/>
          <w:b w:val="0"/>
          <w:sz w:val="24"/>
          <w:szCs w:val="24"/>
        </w:rPr>
        <w:t>验收、使用；</w:t>
      </w:r>
    </w:p>
    <w:p>
      <w:pPr>
        <w:pStyle w:val="10"/>
        <w:ind w:firstLine="480" w:firstLineChars="200"/>
        <w:rPr>
          <w:rFonts w:ascii="宋体" w:hAnsi="宋体" w:eastAsia="宋体"/>
          <w:b w:val="0"/>
          <w:sz w:val="24"/>
          <w:szCs w:val="24"/>
        </w:rPr>
      </w:pPr>
      <w:r>
        <w:rPr>
          <w:rFonts w:hint="eastAsia" w:ascii="宋体" w:hAnsi="宋体" w:eastAsia="宋体"/>
          <w:b w:val="0"/>
          <w:sz w:val="24"/>
          <w:szCs w:val="24"/>
        </w:rPr>
        <w:t>十一、我方将按要求提供投标文件，同时接受因招标文件不符合要求造成的投标被否决或废标；</w:t>
      </w:r>
    </w:p>
    <w:p>
      <w:pPr>
        <w:pStyle w:val="10"/>
        <w:ind w:firstLine="480" w:firstLineChars="200"/>
        <w:rPr>
          <w:rFonts w:ascii="宋体" w:hAnsi="宋体" w:eastAsia="宋体"/>
          <w:b w:val="0"/>
          <w:sz w:val="24"/>
          <w:szCs w:val="24"/>
        </w:rPr>
      </w:pPr>
      <w:r>
        <w:rPr>
          <w:rFonts w:hint="eastAsia" w:ascii="宋体" w:hAnsi="宋体" w:eastAsia="宋体"/>
          <w:b w:val="0"/>
          <w:sz w:val="24"/>
          <w:szCs w:val="24"/>
        </w:rPr>
        <w:t>十二、我方愿意提供</w:t>
      </w:r>
      <w:r>
        <w:rPr>
          <w:rFonts w:hint="eastAsia" w:ascii="宋体" w:hAnsi="宋体" w:eastAsia="宋体"/>
          <w:b w:val="0"/>
          <w:sz w:val="24"/>
          <w:szCs w:val="24"/>
          <w:lang w:eastAsia="zh-CN"/>
        </w:rPr>
        <w:t>贵单位</w:t>
      </w:r>
      <w:r>
        <w:rPr>
          <w:rFonts w:hint="eastAsia" w:ascii="宋体" w:hAnsi="宋体" w:eastAsia="宋体"/>
          <w:b w:val="0"/>
          <w:sz w:val="24"/>
          <w:szCs w:val="24"/>
        </w:rPr>
        <w:t>可能另外要求的、与投标有关的文件资料，并保证我方已提供和将要提供的文件是真实的、准确的；</w:t>
      </w:r>
    </w:p>
    <w:p>
      <w:pPr>
        <w:pStyle w:val="10"/>
        <w:ind w:firstLine="480" w:firstLineChars="200"/>
        <w:rPr>
          <w:rFonts w:ascii="宋体" w:hAnsi="宋体" w:eastAsia="宋体"/>
          <w:b w:val="0"/>
          <w:sz w:val="24"/>
          <w:szCs w:val="24"/>
        </w:rPr>
      </w:pPr>
      <w:r>
        <w:rPr>
          <w:rFonts w:hint="eastAsia" w:ascii="宋体" w:hAnsi="宋体" w:eastAsia="宋体"/>
          <w:b w:val="0"/>
          <w:sz w:val="24"/>
          <w:szCs w:val="24"/>
        </w:rPr>
        <w:t>十三、我方完全理解你院不一定将合同授予最低报价的投标人；</w:t>
      </w:r>
    </w:p>
    <w:p>
      <w:pPr>
        <w:pStyle w:val="10"/>
        <w:ind w:firstLine="480" w:firstLineChars="200"/>
        <w:rPr>
          <w:rFonts w:ascii="宋体" w:hAnsi="宋体" w:eastAsia="宋体"/>
          <w:b w:val="0"/>
          <w:sz w:val="24"/>
          <w:szCs w:val="24"/>
        </w:rPr>
      </w:pPr>
      <w:r>
        <w:rPr>
          <w:rFonts w:hint="eastAsia" w:ascii="宋体" w:hAnsi="宋体" w:eastAsia="宋体"/>
          <w:b w:val="0"/>
          <w:sz w:val="24"/>
          <w:szCs w:val="24"/>
        </w:rPr>
        <w:t>十四、如在投标过程和公示期间发生投诉行为，保证按照有关规定要求进行。投诉内容符合要求，投诉材料加盖企业公章或由法定代表人授权委托人签字，并附有关身份证明复印件。</w:t>
      </w:r>
    </w:p>
    <w:p>
      <w:pPr>
        <w:pStyle w:val="10"/>
        <w:ind w:firstLine="480" w:firstLineChars="200"/>
        <w:rPr>
          <w:rFonts w:ascii="宋体" w:hAnsi="宋体" w:eastAsia="宋体"/>
          <w:b w:val="0"/>
          <w:sz w:val="24"/>
          <w:szCs w:val="24"/>
        </w:rPr>
      </w:pPr>
      <w:r>
        <w:rPr>
          <w:rFonts w:hint="eastAsia" w:ascii="宋体" w:hAnsi="宋体" w:eastAsia="宋体"/>
          <w:b w:val="0"/>
          <w:sz w:val="24"/>
          <w:szCs w:val="24"/>
        </w:rPr>
        <w:t>以上内容我已仔细阅读并认可，本公司若有违反承诺内容的行为，自愿接受取消投标资格、记入信用档案、没收投标保证金等有关处理，愿意承担相应法律责任。如已中标的，自动放弃中标资格；给</w:t>
      </w:r>
      <w:r>
        <w:rPr>
          <w:rFonts w:hint="eastAsia" w:ascii="宋体" w:hAnsi="宋体" w:eastAsia="宋体"/>
          <w:b w:val="0"/>
          <w:sz w:val="24"/>
          <w:szCs w:val="24"/>
          <w:lang w:eastAsia="zh-CN"/>
        </w:rPr>
        <w:t>贵单位</w:t>
      </w:r>
      <w:r>
        <w:rPr>
          <w:rFonts w:hint="eastAsia" w:ascii="宋体" w:hAnsi="宋体" w:eastAsia="宋体"/>
          <w:b w:val="0"/>
          <w:sz w:val="24"/>
          <w:szCs w:val="24"/>
        </w:rPr>
        <w:t>造成损失的，依法承担相应责任。</w:t>
      </w:r>
    </w:p>
    <w:p/>
    <w:p>
      <w:pPr>
        <w:pStyle w:val="10"/>
        <w:rPr>
          <w:rFonts w:ascii="宋体" w:hAnsi="宋体" w:eastAsia="宋体"/>
          <w:b w:val="0"/>
          <w:sz w:val="24"/>
          <w:szCs w:val="24"/>
        </w:rPr>
      </w:pPr>
      <w:r>
        <w:rPr>
          <w:rFonts w:hint="eastAsia" w:ascii="宋体" w:hAnsi="宋体" w:eastAsia="宋体"/>
          <w:b w:val="0"/>
          <w:sz w:val="24"/>
          <w:szCs w:val="24"/>
        </w:rPr>
        <w:t>投标单位（加盖公章）：               法定代表人（签字或盖章）：</w:t>
      </w:r>
    </w:p>
    <w:p/>
    <w:p/>
    <w:p>
      <w:pPr>
        <w:pStyle w:val="10"/>
        <w:rPr>
          <w:rFonts w:ascii="宋体" w:hAnsi="宋体" w:eastAsia="宋体"/>
          <w:b w:val="0"/>
          <w:sz w:val="24"/>
          <w:szCs w:val="24"/>
        </w:rPr>
      </w:pPr>
      <w:r>
        <w:rPr>
          <w:rFonts w:hint="eastAsia" w:ascii="宋体" w:hAnsi="宋体" w:eastAsia="宋体"/>
          <w:b w:val="0"/>
          <w:sz w:val="24"/>
          <w:szCs w:val="24"/>
        </w:rPr>
        <w:t xml:space="preserve">联系电话：                              年    月    日 </w:t>
      </w:r>
    </w:p>
    <w:p>
      <w:pPr>
        <w:pStyle w:val="4"/>
        <w:keepNext w:val="0"/>
        <w:keepLines w:val="0"/>
        <w:jc w:val="center"/>
        <w:rPr>
          <w:rFonts w:ascii="宋体" w:hAnsi="宋体" w:eastAsia="宋体"/>
        </w:rPr>
      </w:pPr>
      <w:bookmarkStart w:id="16" w:name="_Toc29803287"/>
    </w:p>
    <w:p>
      <w:pPr>
        <w:pStyle w:val="4"/>
        <w:keepNext w:val="0"/>
        <w:keepLines w:val="0"/>
        <w:jc w:val="center"/>
        <w:rPr>
          <w:rFonts w:ascii="宋体" w:hAnsi="宋体" w:eastAsia="宋体"/>
        </w:rPr>
      </w:pPr>
      <w:r>
        <w:rPr>
          <w:rFonts w:hint="eastAsia" w:ascii="宋体" w:hAnsi="宋体" w:eastAsia="宋体"/>
        </w:rPr>
        <w:t>投标报价表</w:t>
      </w:r>
    </w:p>
    <w:p>
      <w:pPr>
        <w:rPr>
          <w:rFonts w:ascii="宋体" w:hAnsi="宋体"/>
          <w:b/>
          <w:color w:val="000000"/>
          <w:sz w:val="24"/>
        </w:rPr>
      </w:pPr>
    </w:p>
    <w:p>
      <w:pPr>
        <w:rPr>
          <w:rFonts w:ascii="宋体" w:hAnsi="宋体"/>
          <w:b/>
          <w:color w:val="000000"/>
          <w:sz w:val="24"/>
        </w:rPr>
      </w:pPr>
    </w:p>
    <w:p>
      <w:pPr>
        <w:rPr>
          <w:rFonts w:ascii="宋体" w:hAnsi="宋体"/>
          <w:b/>
          <w:color w:val="000000"/>
          <w:sz w:val="24"/>
        </w:rPr>
      </w:pPr>
    </w:p>
    <w:p/>
    <w:p/>
    <w:p/>
    <w:p/>
    <w:p/>
    <w:p/>
    <w:p/>
    <w:p/>
    <w:p/>
    <w:p/>
    <w:p/>
    <w:p/>
    <w:p/>
    <w:p/>
    <w:p/>
    <w:p/>
    <w:p/>
    <w:bookmarkEnd w:id="16"/>
    <w:p>
      <w:pPr>
        <w:spacing w:line="400" w:lineRule="exact"/>
        <w:ind w:firstLine="480" w:firstLineChars="200"/>
        <w:rPr>
          <w:sz w:val="24"/>
        </w:rPr>
      </w:pPr>
    </w:p>
    <w:p>
      <w:pPr>
        <w:pStyle w:val="4"/>
        <w:keepNext w:val="0"/>
        <w:keepLines w:val="0"/>
        <w:jc w:val="both"/>
        <w:rPr>
          <w:rFonts w:ascii="宋体" w:hAnsi="宋体" w:eastAsia="宋体"/>
        </w:rPr>
      </w:pPr>
    </w:p>
    <w:sectPr>
      <w:headerReference r:id="rId3" w:type="default"/>
      <w:footerReference r:id="rId4" w:type="default"/>
      <w:pgSz w:w="11906" w:h="16838"/>
      <w:pgMar w:top="1440" w:right="1800" w:bottom="1440" w:left="1800" w:header="851" w:footer="907"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黑体ＣＳ">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9</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F5A9E"/>
    <w:multiLevelType w:val="singleLevel"/>
    <w:tmpl w:val="928F5A9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jZmEzOWQ3YzY1ZjdmN2NkMzViYTI0NDc5MDE3N2IifQ=="/>
  </w:docVars>
  <w:rsids>
    <w:rsidRoot w:val="003C3A6F"/>
    <w:rsid w:val="000018C6"/>
    <w:rsid w:val="000020A1"/>
    <w:rsid w:val="00002817"/>
    <w:rsid w:val="000029E6"/>
    <w:rsid w:val="00004BF3"/>
    <w:rsid w:val="00004CA3"/>
    <w:rsid w:val="00012B7F"/>
    <w:rsid w:val="0001707B"/>
    <w:rsid w:val="0003077A"/>
    <w:rsid w:val="00034D71"/>
    <w:rsid w:val="000355B3"/>
    <w:rsid w:val="0003770A"/>
    <w:rsid w:val="00044A84"/>
    <w:rsid w:val="00051876"/>
    <w:rsid w:val="00051CB5"/>
    <w:rsid w:val="000604CC"/>
    <w:rsid w:val="00061363"/>
    <w:rsid w:val="00065E3A"/>
    <w:rsid w:val="00073F96"/>
    <w:rsid w:val="000744FD"/>
    <w:rsid w:val="000833B5"/>
    <w:rsid w:val="00083549"/>
    <w:rsid w:val="00095001"/>
    <w:rsid w:val="000974F5"/>
    <w:rsid w:val="000A1853"/>
    <w:rsid w:val="000A2580"/>
    <w:rsid w:val="000A6782"/>
    <w:rsid w:val="000B3652"/>
    <w:rsid w:val="000B5B1B"/>
    <w:rsid w:val="000B6CEE"/>
    <w:rsid w:val="000B731C"/>
    <w:rsid w:val="000C7703"/>
    <w:rsid w:val="000D048E"/>
    <w:rsid w:val="000D0727"/>
    <w:rsid w:val="000D3923"/>
    <w:rsid w:val="000D4155"/>
    <w:rsid w:val="000D5AFA"/>
    <w:rsid w:val="000E387A"/>
    <w:rsid w:val="000E7DC0"/>
    <w:rsid w:val="000F09AC"/>
    <w:rsid w:val="000F436B"/>
    <w:rsid w:val="000F6363"/>
    <w:rsid w:val="000F6701"/>
    <w:rsid w:val="000F68D6"/>
    <w:rsid w:val="00103B0C"/>
    <w:rsid w:val="001070A1"/>
    <w:rsid w:val="00107A88"/>
    <w:rsid w:val="00107FA8"/>
    <w:rsid w:val="00114DE4"/>
    <w:rsid w:val="00116806"/>
    <w:rsid w:val="0012030C"/>
    <w:rsid w:val="00121021"/>
    <w:rsid w:val="00123526"/>
    <w:rsid w:val="0012567A"/>
    <w:rsid w:val="001266DB"/>
    <w:rsid w:val="00127A3F"/>
    <w:rsid w:val="00134F8B"/>
    <w:rsid w:val="001355D4"/>
    <w:rsid w:val="00135E88"/>
    <w:rsid w:val="00141FF7"/>
    <w:rsid w:val="001442C6"/>
    <w:rsid w:val="00144808"/>
    <w:rsid w:val="00144DA1"/>
    <w:rsid w:val="001471C7"/>
    <w:rsid w:val="001639EE"/>
    <w:rsid w:val="00163B39"/>
    <w:rsid w:val="0016418B"/>
    <w:rsid w:val="00164937"/>
    <w:rsid w:val="00172491"/>
    <w:rsid w:val="00172E0D"/>
    <w:rsid w:val="00173612"/>
    <w:rsid w:val="00180425"/>
    <w:rsid w:val="00184C7D"/>
    <w:rsid w:val="00186895"/>
    <w:rsid w:val="001912A3"/>
    <w:rsid w:val="00192F32"/>
    <w:rsid w:val="0019428F"/>
    <w:rsid w:val="00195E96"/>
    <w:rsid w:val="001A26C6"/>
    <w:rsid w:val="001A3C3A"/>
    <w:rsid w:val="001A6114"/>
    <w:rsid w:val="001A7DCE"/>
    <w:rsid w:val="001B5870"/>
    <w:rsid w:val="001C129D"/>
    <w:rsid w:val="001C20B1"/>
    <w:rsid w:val="001C63F1"/>
    <w:rsid w:val="001C6A2F"/>
    <w:rsid w:val="001D2E78"/>
    <w:rsid w:val="001D54D7"/>
    <w:rsid w:val="001D5B11"/>
    <w:rsid w:val="001E17DD"/>
    <w:rsid w:val="001E556B"/>
    <w:rsid w:val="001E7BD1"/>
    <w:rsid w:val="001F0C39"/>
    <w:rsid w:val="00200E9C"/>
    <w:rsid w:val="002051A7"/>
    <w:rsid w:val="00205A71"/>
    <w:rsid w:val="002064EF"/>
    <w:rsid w:val="0020795C"/>
    <w:rsid w:val="00210A05"/>
    <w:rsid w:val="00211308"/>
    <w:rsid w:val="00225337"/>
    <w:rsid w:val="00226B10"/>
    <w:rsid w:val="00231A03"/>
    <w:rsid w:val="00232F77"/>
    <w:rsid w:val="00233D69"/>
    <w:rsid w:val="002357D8"/>
    <w:rsid w:val="00240E82"/>
    <w:rsid w:val="00242D4F"/>
    <w:rsid w:val="002449BA"/>
    <w:rsid w:val="0024515D"/>
    <w:rsid w:val="0026085F"/>
    <w:rsid w:val="0026144E"/>
    <w:rsid w:val="002623B6"/>
    <w:rsid w:val="0026557B"/>
    <w:rsid w:val="002724AB"/>
    <w:rsid w:val="0027580E"/>
    <w:rsid w:val="00281D99"/>
    <w:rsid w:val="00287D12"/>
    <w:rsid w:val="0029014E"/>
    <w:rsid w:val="002917BE"/>
    <w:rsid w:val="00294FA6"/>
    <w:rsid w:val="00296F47"/>
    <w:rsid w:val="00297198"/>
    <w:rsid w:val="002A4F3B"/>
    <w:rsid w:val="002A688E"/>
    <w:rsid w:val="002B11D6"/>
    <w:rsid w:val="002B4344"/>
    <w:rsid w:val="002B5253"/>
    <w:rsid w:val="002B7F45"/>
    <w:rsid w:val="002C02F3"/>
    <w:rsid w:val="002C401C"/>
    <w:rsid w:val="002D2744"/>
    <w:rsid w:val="002D3226"/>
    <w:rsid w:val="002D4C70"/>
    <w:rsid w:val="002D5784"/>
    <w:rsid w:val="002E22B2"/>
    <w:rsid w:val="002E6F55"/>
    <w:rsid w:val="002F05C5"/>
    <w:rsid w:val="002F143A"/>
    <w:rsid w:val="002F4ADD"/>
    <w:rsid w:val="002F78A5"/>
    <w:rsid w:val="0030226E"/>
    <w:rsid w:val="00304260"/>
    <w:rsid w:val="003058D4"/>
    <w:rsid w:val="00305D78"/>
    <w:rsid w:val="00306189"/>
    <w:rsid w:val="00307DB4"/>
    <w:rsid w:val="003241C4"/>
    <w:rsid w:val="00326DFD"/>
    <w:rsid w:val="0033664E"/>
    <w:rsid w:val="00336CA0"/>
    <w:rsid w:val="003444F1"/>
    <w:rsid w:val="0034701B"/>
    <w:rsid w:val="00347AEC"/>
    <w:rsid w:val="00353673"/>
    <w:rsid w:val="00353C82"/>
    <w:rsid w:val="003561D6"/>
    <w:rsid w:val="003566DF"/>
    <w:rsid w:val="003579FF"/>
    <w:rsid w:val="00362A4D"/>
    <w:rsid w:val="00363213"/>
    <w:rsid w:val="00365CBE"/>
    <w:rsid w:val="00373ABD"/>
    <w:rsid w:val="00382F15"/>
    <w:rsid w:val="003834CD"/>
    <w:rsid w:val="003911FC"/>
    <w:rsid w:val="0039312C"/>
    <w:rsid w:val="00393B13"/>
    <w:rsid w:val="00395CEC"/>
    <w:rsid w:val="003A1468"/>
    <w:rsid w:val="003A4216"/>
    <w:rsid w:val="003A45D1"/>
    <w:rsid w:val="003A5D06"/>
    <w:rsid w:val="003B1AB4"/>
    <w:rsid w:val="003C2651"/>
    <w:rsid w:val="003C2A26"/>
    <w:rsid w:val="003C3019"/>
    <w:rsid w:val="003C3A6F"/>
    <w:rsid w:val="003C5997"/>
    <w:rsid w:val="003C59F6"/>
    <w:rsid w:val="003C6C73"/>
    <w:rsid w:val="003D0F1A"/>
    <w:rsid w:val="003D14A3"/>
    <w:rsid w:val="003D467E"/>
    <w:rsid w:val="003D62F5"/>
    <w:rsid w:val="003F04B5"/>
    <w:rsid w:val="003F45E3"/>
    <w:rsid w:val="003F478B"/>
    <w:rsid w:val="003F5217"/>
    <w:rsid w:val="003F7A0F"/>
    <w:rsid w:val="00403B11"/>
    <w:rsid w:val="00403CDC"/>
    <w:rsid w:val="004047CA"/>
    <w:rsid w:val="004062FC"/>
    <w:rsid w:val="00406C20"/>
    <w:rsid w:val="004150A9"/>
    <w:rsid w:val="00417296"/>
    <w:rsid w:val="00422AA3"/>
    <w:rsid w:val="0042331B"/>
    <w:rsid w:val="00423E18"/>
    <w:rsid w:val="00437955"/>
    <w:rsid w:val="00437C75"/>
    <w:rsid w:val="00437D75"/>
    <w:rsid w:val="00440805"/>
    <w:rsid w:val="00444824"/>
    <w:rsid w:val="00451364"/>
    <w:rsid w:val="0045256C"/>
    <w:rsid w:val="0045411A"/>
    <w:rsid w:val="00461FE6"/>
    <w:rsid w:val="00465141"/>
    <w:rsid w:val="004778B6"/>
    <w:rsid w:val="004878EF"/>
    <w:rsid w:val="00490E99"/>
    <w:rsid w:val="004919F3"/>
    <w:rsid w:val="004928C0"/>
    <w:rsid w:val="00494C75"/>
    <w:rsid w:val="00494EAC"/>
    <w:rsid w:val="00496B56"/>
    <w:rsid w:val="00497255"/>
    <w:rsid w:val="004A19AA"/>
    <w:rsid w:val="004A4C54"/>
    <w:rsid w:val="004B2370"/>
    <w:rsid w:val="004B68F7"/>
    <w:rsid w:val="004B73FC"/>
    <w:rsid w:val="004C420A"/>
    <w:rsid w:val="004C4EB0"/>
    <w:rsid w:val="004C7D92"/>
    <w:rsid w:val="004D6B4E"/>
    <w:rsid w:val="004E3B49"/>
    <w:rsid w:val="004E58DC"/>
    <w:rsid w:val="004E6F69"/>
    <w:rsid w:val="004E7785"/>
    <w:rsid w:val="004E77A9"/>
    <w:rsid w:val="004E7D0B"/>
    <w:rsid w:val="004F044B"/>
    <w:rsid w:val="004F2711"/>
    <w:rsid w:val="004F3AFE"/>
    <w:rsid w:val="004F3C99"/>
    <w:rsid w:val="005043B7"/>
    <w:rsid w:val="00507277"/>
    <w:rsid w:val="00514943"/>
    <w:rsid w:val="00515EDC"/>
    <w:rsid w:val="0051797E"/>
    <w:rsid w:val="00517D0C"/>
    <w:rsid w:val="005212FF"/>
    <w:rsid w:val="00521CB2"/>
    <w:rsid w:val="00524489"/>
    <w:rsid w:val="00527594"/>
    <w:rsid w:val="005313A2"/>
    <w:rsid w:val="005328F6"/>
    <w:rsid w:val="0053345D"/>
    <w:rsid w:val="0053425C"/>
    <w:rsid w:val="00534439"/>
    <w:rsid w:val="00534729"/>
    <w:rsid w:val="005367E5"/>
    <w:rsid w:val="00537622"/>
    <w:rsid w:val="00540CF4"/>
    <w:rsid w:val="0054424F"/>
    <w:rsid w:val="00547BA9"/>
    <w:rsid w:val="005565FE"/>
    <w:rsid w:val="005614C0"/>
    <w:rsid w:val="00562525"/>
    <w:rsid w:val="0056643D"/>
    <w:rsid w:val="0056716E"/>
    <w:rsid w:val="00574A68"/>
    <w:rsid w:val="00574E3B"/>
    <w:rsid w:val="00583AFA"/>
    <w:rsid w:val="005840A0"/>
    <w:rsid w:val="00591739"/>
    <w:rsid w:val="0059782F"/>
    <w:rsid w:val="005A098C"/>
    <w:rsid w:val="005A2C62"/>
    <w:rsid w:val="005A33EA"/>
    <w:rsid w:val="005A38AA"/>
    <w:rsid w:val="005B240D"/>
    <w:rsid w:val="005B2629"/>
    <w:rsid w:val="005B3018"/>
    <w:rsid w:val="005B37C4"/>
    <w:rsid w:val="005B523C"/>
    <w:rsid w:val="005B746E"/>
    <w:rsid w:val="005C0842"/>
    <w:rsid w:val="005C4DC4"/>
    <w:rsid w:val="005D287C"/>
    <w:rsid w:val="005D5770"/>
    <w:rsid w:val="005D7ED1"/>
    <w:rsid w:val="005E2538"/>
    <w:rsid w:val="005E52B9"/>
    <w:rsid w:val="005E6B3E"/>
    <w:rsid w:val="005E76B2"/>
    <w:rsid w:val="005F1519"/>
    <w:rsid w:val="005F1803"/>
    <w:rsid w:val="005F3617"/>
    <w:rsid w:val="005F3C3E"/>
    <w:rsid w:val="005F5B63"/>
    <w:rsid w:val="0060088E"/>
    <w:rsid w:val="006023EE"/>
    <w:rsid w:val="00602ABF"/>
    <w:rsid w:val="00606BF9"/>
    <w:rsid w:val="006101A6"/>
    <w:rsid w:val="006131C0"/>
    <w:rsid w:val="00614E96"/>
    <w:rsid w:val="006159B7"/>
    <w:rsid w:val="00621E21"/>
    <w:rsid w:val="00622D78"/>
    <w:rsid w:val="00622F3A"/>
    <w:rsid w:val="00624435"/>
    <w:rsid w:val="00627C9D"/>
    <w:rsid w:val="0063032B"/>
    <w:rsid w:val="006315A4"/>
    <w:rsid w:val="00634691"/>
    <w:rsid w:val="00641354"/>
    <w:rsid w:val="0064197F"/>
    <w:rsid w:val="0064367E"/>
    <w:rsid w:val="00646EB3"/>
    <w:rsid w:val="006472FC"/>
    <w:rsid w:val="00651DB4"/>
    <w:rsid w:val="00657EC7"/>
    <w:rsid w:val="006633DF"/>
    <w:rsid w:val="006723B7"/>
    <w:rsid w:val="00672AE3"/>
    <w:rsid w:val="0067314E"/>
    <w:rsid w:val="00677AA8"/>
    <w:rsid w:val="00683075"/>
    <w:rsid w:val="00686518"/>
    <w:rsid w:val="00686C09"/>
    <w:rsid w:val="00687D17"/>
    <w:rsid w:val="00693390"/>
    <w:rsid w:val="00693950"/>
    <w:rsid w:val="00694906"/>
    <w:rsid w:val="006A2F26"/>
    <w:rsid w:val="006B214D"/>
    <w:rsid w:val="006B57C6"/>
    <w:rsid w:val="006C09E2"/>
    <w:rsid w:val="006C4BC0"/>
    <w:rsid w:val="006C7C27"/>
    <w:rsid w:val="006D0AF5"/>
    <w:rsid w:val="006D4C3B"/>
    <w:rsid w:val="006D7816"/>
    <w:rsid w:val="006E493E"/>
    <w:rsid w:val="006E4C92"/>
    <w:rsid w:val="006E5443"/>
    <w:rsid w:val="006E5A4F"/>
    <w:rsid w:val="006E7FAA"/>
    <w:rsid w:val="006F2194"/>
    <w:rsid w:val="006F3525"/>
    <w:rsid w:val="006F6361"/>
    <w:rsid w:val="007113D5"/>
    <w:rsid w:val="007149E9"/>
    <w:rsid w:val="00715163"/>
    <w:rsid w:val="00715313"/>
    <w:rsid w:val="0071658A"/>
    <w:rsid w:val="00716AC0"/>
    <w:rsid w:val="007257D4"/>
    <w:rsid w:val="0072671D"/>
    <w:rsid w:val="00727DBF"/>
    <w:rsid w:val="00730001"/>
    <w:rsid w:val="00733804"/>
    <w:rsid w:val="00734CE6"/>
    <w:rsid w:val="00734D8F"/>
    <w:rsid w:val="00740A80"/>
    <w:rsid w:val="00743869"/>
    <w:rsid w:val="00744EED"/>
    <w:rsid w:val="00745BBA"/>
    <w:rsid w:val="0075003C"/>
    <w:rsid w:val="00762829"/>
    <w:rsid w:val="00764A5C"/>
    <w:rsid w:val="00772B44"/>
    <w:rsid w:val="00772E0C"/>
    <w:rsid w:val="00776A03"/>
    <w:rsid w:val="00787DFB"/>
    <w:rsid w:val="0079260A"/>
    <w:rsid w:val="007941E4"/>
    <w:rsid w:val="007A3FA6"/>
    <w:rsid w:val="007A5F5E"/>
    <w:rsid w:val="007B4D12"/>
    <w:rsid w:val="007C7746"/>
    <w:rsid w:val="007D500A"/>
    <w:rsid w:val="007F3CE9"/>
    <w:rsid w:val="007F7A46"/>
    <w:rsid w:val="00801257"/>
    <w:rsid w:val="00802102"/>
    <w:rsid w:val="0080502F"/>
    <w:rsid w:val="00806227"/>
    <w:rsid w:val="0080745D"/>
    <w:rsid w:val="00811472"/>
    <w:rsid w:val="00812E92"/>
    <w:rsid w:val="00813179"/>
    <w:rsid w:val="008131EA"/>
    <w:rsid w:val="00821DE3"/>
    <w:rsid w:val="00822629"/>
    <w:rsid w:val="0082643A"/>
    <w:rsid w:val="00830C99"/>
    <w:rsid w:val="00837A58"/>
    <w:rsid w:val="0084253A"/>
    <w:rsid w:val="008425E8"/>
    <w:rsid w:val="008437B4"/>
    <w:rsid w:val="0084536F"/>
    <w:rsid w:val="008517AD"/>
    <w:rsid w:val="00853E96"/>
    <w:rsid w:val="00855CD3"/>
    <w:rsid w:val="00861F10"/>
    <w:rsid w:val="008633A5"/>
    <w:rsid w:val="00864324"/>
    <w:rsid w:val="00865409"/>
    <w:rsid w:val="0086612D"/>
    <w:rsid w:val="0086627F"/>
    <w:rsid w:val="00867541"/>
    <w:rsid w:val="00870A85"/>
    <w:rsid w:val="00872CDF"/>
    <w:rsid w:val="008767F6"/>
    <w:rsid w:val="008803D4"/>
    <w:rsid w:val="008838A0"/>
    <w:rsid w:val="00886C80"/>
    <w:rsid w:val="008932C6"/>
    <w:rsid w:val="00894A10"/>
    <w:rsid w:val="00897C22"/>
    <w:rsid w:val="008A3B56"/>
    <w:rsid w:val="008B31D2"/>
    <w:rsid w:val="008C03D3"/>
    <w:rsid w:val="008C4428"/>
    <w:rsid w:val="008C7F83"/>
    <w:rsid w:val="008D1CF2"/>
    <w:rsid w:val="008D443E"/>
    <w:rsid w:val="008E0850"/>
    <w:rsid w:val="008E25AA"/>
    <w:rsid w:val="008E3786"/>
    <w:rsid w:val="008E4D54"/>
    <w:rsid w:val="008E6758"/>
    <w:rsid w:val="008E7D04"/>
    <w:rsid w:val="008F064B"/>
    <w:rsid w:val="008F57F8"/>
    <w:rsid w:val="00900B9B"/>
    <w:rsid w:val="00906FFA"/>
    <w:rsid w:val="00911ED6"/>
    <w:rsid w:val="0091217B"/>
    <w:rsid w:val="0091414E"/>
    <w:rsid w:val="00917F74"/>
    <w:rsid w:val="00922E22"/>
    <w:rsid w:val="0092498B"/>
    <w:rsid w:val="009258C1"/>
    <w:rsid w:val="00927593"/>
    <w:rsid w:val="00931B40"/>
    <w:rsid w:val="00933F9A"/>
    <w:rsid w:val="0093415F"/>
    <w:rsid w:val="00935455"/>
    <w:rsid w:val="009366D5"/>
    <w:rsid w:val="00940889"/>
    <w:rsid w:val="0094103D"/>
    <w:rsid w:val="009438F3"/>
    <w:rsid w:val="00945920"/>
    <w:rsid w:val="00945CCF"/>
    <w:rsid w:val="00952DB1"/>
    <w:rsid w:val="00954A8E"/>
    <w:rsid w:val="00956AA0"/>
    <w:rsid w:val="00981EF2"/>
    <w:rsid w:val="00983059"/>
    <w:rsid w:val="009856D6"/>
    <w:rsid w:val="00985D8D"/>
    <w:rsid w:val="009940D5"/>
    <w:rsid w:val="009A194F"/>
    <w:rsid w:val="009A3358"/>
    <w:rsid w:val="009A3CEB"/>
    <w:rsid w:val="009A4959"/>
    <w:rsid w:val="009A6227"/>
    <w:rsid w:val="009B2314"/>
    <w:rsid w:val="009B2CAD"/>
    <w:rsid w:val="009B3C6A"/>
    <w:rsid w:val="009B58A8"/>
    <w:rsid w:val="009B7B92"/>
    <w:rsid w:val="009C77A6"/>
    <w:rsid w:val="009D3E3F"/>
    <w:rsid w:val="009D63E2"/>
    <w:rsid w:val="009E452C"/>
    <w:rsid w:val="009E63FA"/>
    <w:rsid w:val="00A02955"/>
    <w:rsid w:val="00A04B52"/>
    <w:rsid w:val="00A1452D"/>
    <w:rsid w:val="00A16B83"/>
    <w:rsid w:val="00A21940"/>
    <w:rsid w:val="00A23AF8"/>
    <w:rsid w:val="00A265E8"/>
    <w:rsid w:val="00A26DB3"/>
    <w:rsid w:val="00A27E90"/>
    <w:rsid w:val="00A3340F"/>
    <w:rsid w:val="00A35A44"/>
    <w:rsid w:val="00A41CAD"/>
    <w:rsid w:val="00A44512"/>
    <w:rsid w:val="00A55776"/>
    <w:rsid w:val="00A60A01"/>
    <w:rsid w:val="00A62560"/>
    <w:rsid w:val="00A62671"/>
    <w:rsid w:val="00A634DA"/>
    <w:rsid w:val="00A63B02"/>
    <w:rsid w:val="00A708DA"/>
    <w:rsid w:val="00A70ABD"/>
    <w:rsid w:val="00A75EA2"/>
    <w:rsid w:val="00A801F7"/>
    <w:rsid w:val="00A82285"/>
    <w:rsid w:val="00A82424"/>
    <w:rsid w:val="00A832D7"/>
    <w:rsid w:val="00A834FF"/>
    <w:rsid w:val="00A83FE9"/>
    <w:rsid w:val="00A84CBB"/>
    <w:rsid w:val="00A8509D"/>
    <w:rsid w:val="00A86DE8"/>
    <w:rsid w:val="00A90087"/>
    <w:rsid w:val="00A92348"/>
    <w:rsid w:val="00A93F20"/>
    <w:rsid w:val="00AA410B"/>
    <w:rsid w:val="00AA4862"/>
    <w:rsid w:val="00AA770A"/>
    <w:rsid w:val="00AB01BA"/>
    <w:rsid w:val="00AB14CC"/>
    <w:rsid w:val="00AB22EB"/>
    <w:rsid w:val="00AC4903"/>
    <w:rsid w:val="00AC6E2E"/>
    <w:rsid w:val="00AE3D0F"/>
    <w:rsid w:val="00AE4036"/>
    <w:rsid w:val="00AE597D"/>
    <w:rsid w:val="00AF63A8"/>
    <w:rsid w:val="00B00900"/>
    <w:rsid w:val="00B0534A"/>
    <w:rsid w:val="00B10693"/>
    <w:rsid w:val="00B13135"/>
    <w:rsid w:val="00B13551"/>
    <w:rsid w:val="00B235C6"/>
    <w:rsid w:val="00B24D76"/>
    <w:rsid w:val="00B26551"/>
    <w:rsid w:val="00B32930"/>
    <w:rsid w:val="00B35314"/>
    <w:rsid w:val="00B40EBC"/>
    <w:rsid w:val="00B42F2B"/>
    <w:rsid w:val="00B45804"/>
    <w:rsid w:val="00B46CF2"/>
    <w:rsid w:val="00B509B7"/>
    <w:rsid w:val="00B53677"/>
    <w:rsid w:val="00B605A1"/>
    <w:rsid w:val="00B60FB1"/>
    <w:rsid w:val="00B62610"/>
    <w:rsid w:val="00B65CFA"/>
    <w:rsid w:val="00B65D90"/>
    <w:rsid w:val="00B7176E"/>
    <w:rsid w:val="00B726BF"/>
    <w:rsid w:val="00B77C8B"/>
    <w:rsid w:val="00B82AD6"/>
    <w:rsid w:val="00B8344D"/>
    <w:rsid w:val="00B87E49"/>
    <w:rsid w:val="00B90854"/>
    <w:rsid w:val="00B92898"/>
    <w:rsid w:val="00BA19A7"/>
    <w:rsid w:val="00BA231E"/>
    <w:rsid w:val="00BA5F4B"/>
    <w:rsid w:val="00BA6E94"/>
    <w:rsid w:val="00BA784E"/>
    <w:rsid w:val="00BB2BAD"/>
    <w:rsid w:val="00BB488A"/>
    <w:rsid w:val="00BC0CAD"/>
    <w:rsid w:val="00BC1844"/>
    <w:rsid w:val="00BC6C88"/>
    <w:rsid w:val="00BD0CB9"/>
    <w:rsid w:val="00BD4585"/>
    <w:rsid w:val="00BD4763"/>
    <w:rsid w:val="00BD5D4B"/>
    <w:rsid w:val="00BD609D"/>
    <w:rsid w:val="00BE20F9"/>
    <w:rsid w:val="00BF39CD"/>
    <w:rsid w:val="00BF3C5A"/>
    <w:rsid w:val="00C0112B"/>
    <w:rsid w:val="00C05FEA"/>
    <w:rsid w:val="00C06E5E"/>
    <w:rsid w:val="00C07939"/>
    <w:rsid w:val="00C14E2F"/>
    <w:rsid w:val="00C15C87"/>
    <w:rsid w:val="00C17864"/>
    <w:rsid w:val="00C3012B"/>
    <w:rsid w:val="00C34891"/>
    <w:rsid w:val="00C354EB"/>
    <w:rsid w:val="00C40433"/>
    <w:rsid w:val="00C4110A"/>
    <w:rsid w:val="00C44206"/>
    <w:rsid w:val="00C47C72"/>
    <w:rsid w:val="00C50C6C"/>
    <w:rsid w:val="00C53438"/>
    <w:rsid w:val="00C56DAC"/>
    <w:rsid w:val="00C67070"/>
    <w:rsid w:val="00C7668D"/>
    <w:rsid w:val="00C81940"/>
    <w:rsid w:val="00C84DBD"/>
    <w:rsid w:val="00C90585"/>
    <w:rsid w:val="00C906B5"/>
    <w:rsid w:val="00C931FA"/>
    <w:rsid w:val="00C94787"/>
    <w:rsid w:val="00CA06B1"/>
    <w:rsid w:val="00CA0734"/>
    <w:rsid w:val="00CA251C"/>
    <w:rsid w:val="00CA3367"/>
    <w:rsid w:val="00CA4EEC"/>
    <w:rsid w:val="00CB002C"/>
    <w:rsid w:val="00CB2368"/>
    <w:rsid w:val="00CB3BCC"/>
    <w:rsid w:val="00CB3EBE"/>
    <w:rsid w:val="00CB5A73"/>
    <w:rsid w:val="00CC1E49"/>
    <w:rsid w:val="00CC2D31"/>
    <w:rsid w:val="00CC5272"/>
    <w:rsid w:val="00CD0E87"/>
    <w:rsid w:val="00CD20A8"/>
    <w:rsid w:val="00CD2680"/>
    <w:rsid w:val="00CE195F"/>
    <w:rsid w:val="00CE2D0F"/>
    <w:rsid w:val="00CE40CA"/>
    <w:rsid w:val="00CE44EB"/>
    <w:rsid w:val="00CF0C03"/>
    <w:rsid w:val="00CF3E8A"/>
    <w:rsid w:val="00CF5BC9"/>
    <w:rsid w:val="00CF649C"/>
    <w:rsid w:val="00D04392"/>
    <w:rsid w:val="00D10641"/>
    <w:rsid w:val="00D11DE5"/>
    <w:rsid w:val="00D129DC"/>
    <w:rsid w:val="00D26C8E"/>
    <w:rsid w:val="00D270C6"/>
    <w:rsid w:val="00D30DBD"/>
    <w:rsid w:val="00D31103"/>
    <w:rsid w:val="00D33B1C"/>
    <w:rsid w:val="00D349F2"/>
    <w:rsid w:val="00D35367"/>
    <w:rsid w:val="00D3659B"/>
    <w:rsid w:val="00D5117C"/>
    <w:rsid w:val="00D5156F"/>
    <w:rsid w:val="00D51DFF"/>
    <w:rsid w:val="00D52C7C"/>
    <w:rsid w:val="00D61725"/>
    <w:rsid w:val="00D619F8"/>
    <w:rsid w:val="00D62323"/>
    <w:rsid w:val="00D63A15"/>
    <w:rsid w:val="00D7034F"/>
    <w:rsid w:val="00D71ECD"/>
    <w:rsid w:val="00D73409"/>
    <w:rsid w:val="00D73CC9"/>
    <w:rsid w:val="00D77C03"/>
    <w:rsid w:val="00D80272"/>
    <w:rsid w:val="00D82958"/>
    <w:rsid w:val="00D82F2F"/>
    <w:rsid w:val="00D83959"/>
    <w:rsid w:val="00D83AF7"/>
    <w:rsid w:val="00D84FDB"/>
    <w:rsid w:val="00D966EF"/>
    <w:rsid w:val="00DA3382"/>
    <w:rsid w:val="00DA4409"/>
    <w:rsid w:val="00DB01FA"/>
    <w:rsid w:val="00DB1803"/>
    <w:rsid w:val="00DC5139"/>
    <w:rsid w:val="00DD3119"/>
    <w:rsid w:val="00DD40C8"/>
    <w:rsid w:val="00DD5910"/>
    <w:rsid w:val="00DD6396"/>
    <w:rsid w:val="00DE0640"/>
    <w:rsid w:val="00DE0ABE"/>
    <w:rsid w:val="00DE4564"/>
    <w:rsid w:val="00DF7E24"/>
    <w:rsid w:val="00E00102"/>
    <w:rsid w:val="00E00A91"/>
    <w:rsid w:val="00E00C53"/>
    <w:rsid w:val="00E0307E"/>
    <w:rsid w:val="00E049FF"/>
    <w:rsid w:val="00E04A1B"/>
    <w:rsid w:val="00E04E94"/>
    <w:rsid w:val="00E10094"/>
    <w:rsid w:val="00E1068D"/>
    <w:rsid w:val="00E117E4"/>
    <w:rsid w:val="00E12AFB"/>
    <w:rsid w:val="00E151EF"/>
    <w:rsid w:val="00E1751F"/>
    <w:rsid w:val="00E17DD2"/>
    <w:rsid w:val="00E201D5"/>
    <w:rsid w:val="00E2036D"/>
    <w:rsid w:val="00E2512B"/>
    <w:rsid w:val="00E26972"/>
    <w:rsid w:val="00E269D1"/>
    <w:rsid w:val="00E27847"/>
    <w:rsid w:val="00E30C6E"/>
    <w:rsid w:val="00E360FD"/>
    <w:rsid w:val="00E466D7"/>
    <w:rsid w:val="00E50CA6"/>
    <w:rsid w:val="00E55359"/>
    <w:rsid w:val="00E570F9"/>
    <w:rsid w:val="00E617A0"/>
    <w:rsid w:val="00E65B8E"/>
    <w:rsid w:val="00E7342C"/>
    <w:rsid w:val="00E76EC3"/>
    <w:rsid w:val="00E77EA8"/>
    <w:rsid w:val="00E80B6E"/>
    <w:rsid w:val="00E80E0E"/>
    <w:rsid w:val="00E92959"/>
    <w:rsid w:val="00E9674A"/>
    <w:rsid w:val="00E976CF"/>
    <w:rsid w:val="00E97812"/>
    <w:rsid w:val="00EA0FA0"/>
    <w:rsid w:val="00EA2321"/>
    <w:rsid w:val="00EA513B"/>
    <w:rsid w:val="00EB06BC"/>
    <w:rsid w:val="00EB6CB9"/>
    <w:rsid w:val="00EB71F2"/>
    <w:rsid w:val="00EC56D8"/>
    <w:rsid w:val="00EC57A8"/>
    <w:rsid w:val="00ED1E59"/>
    <w:rsid w:val="00ED3EDB"/>
    <w:rsid w:val="00EE065F"/>
    <w:rsid w:val="00EE50AF"/>
    <w:rsid w:val="00EF04C8"/>
    <w:rsid w:val="00EF44D3"/>
    <w:rsid w:val="00F043D1"/>
    <w:rsid w:val="00F06A8E"/>
    <w:rsid w:val="00F1727F"/>
    <w:rsid w:val="00F20954"/>
    <w:rsid w:val="00F25769"/>
    <w:rsid w:val="00F25A1E"/>
    <w:rsid w:val="00F26967"/>
    <w:rsid w:val="00F27ADA"/>
    <w:rsid w:val="00F36571"/>
    <w:rsid w:val="00F45496"/>
    <w:rsid w:val="00F574FC"/>
    <w:rsid w:val="00F6301B"/>
    <w:rsid w:val="00F649CB"/>
    <w:rsid w:val="00F64C79"/>
    <w:rsid w:val="00F70E21"/>
    <w:rsid w:val="00F72505"/>
    <w:rsid w:val="00F75602"/>
    <w:rsid w:val="00F8541C"/>
    <w:rsid w:val="00F8650D"/>
    <w:rsid w:val="00F8785F"/>
    <w:rsid w:val="00F96EF6"/>
    <w:rsid w:val="00FA0514"/>
    <w:rsid w:val="00FA0729"/>
    <w:rsid w:val="00FA0AD7"/>
    <w:rsid w:val="00FA2F03"/>
    <w:rsid w:val="00FB041B"/>
    <w:rsid w:val="00FB486A"/>
    <w:rsid w:val="00FC6890"/>
    <w:rsid w:val="00FD1A60"/>
    <w:rsid w:val="00FD4187"/>
    <w:rsid w:val="00FD4F54"/>
    <w:rsid w:val="00FD749C"/>
    <w:rsid w:val="00FE06E7"/>
    <w:rsid w:val="00FE0C75"/>
    <w:rsid w:val="00FE5D34"/>
    <w:rsid w:val="00FF3DCD"/>
    <w:rsid w:val="00FF7DD2"/>
    <w:rsid w:val="020D7255"/>
    <w:rsid w:val="05310F77"/>
    <w:rsid w:val="0C621F7C"/>
    <w:rsid w:val="0DFC1D11"/>
    <w:rsid w:val="0E8C524D"/>
    <w:rsid w:val="12DD3D30"/>
    <w:rsid w:val="139879D4"/>
    <w:rsid w:val="14A4696D"/>
    <w:rsid w:val="15333440"/>
    <w:rsid w:val="17A34B99"/>
    <w:rsid w:val="19F05074"/>
    <w:rsid w:val="1B4C386F"/>
    <w:rsid w:val="256C75FE"/>
    <w:rsid w:val="2C043B05"/>
    <w:rsid w:val="35225C8C"/>
    <w:rsid w:val="3CE81F10"/>
    <w:rsid w:val="40593D82"/>
    <w:rsid w:val="424A45DC"/>
    <w:rsid w:val="44211DBB"/>
    <w:rsid w:val="45B2084C"/>
    <w:rsid w:val="4ADA0BA0"/>
    <w:rsid w:val="4EB80A2A"/>
    <w:rsid w:val="553968AC"/>
    <w:rsid w:val="588F5EB8"/>
    <w:rsid w:val="5C72086F"/>
    <w:rsid w:val="60B96648"/>
    <w:rsid w:val="653C42FD"/>
    <w:rsid w:val="65E2294C"/>
    <w:rsid w:val="6666216D"/>
    <w:rsid w:val="66AF5552"/>
    <w:rsid w:val="69CB005C"/>
    <w:rsid w:val="6A76553D"/>
    <w:rsid w:val="6C9A748E"/>
    <w:rsid w:val="6E037511"/>
    <w:rsid w:val="6FD847FC"/>
    <w:rsid w:val="70957E12"/>
    <w:rsid w:val="74E220BB"/>
    <w:rsid w:val="75242B97"/>
    <w:rsid w:val="7595618D"/>
    <w:rsid w:val="76197BB9"/>
    <w:rsid w:val="777032C5"/>
    <w:rsid w:val="7F1A0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99"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rPr>
  </w:style>
  <w:style w:type="paragraph" w:styleId="5">
    <w:name w:val="Plain Text"/>
    <w:basedOn w:val="1"/>
    <w:link w:val="39"/>
    <w:qFormat/>
    <w:uiPriority w:val="0"/>
    <w:rPr>
      <w:rFonts w:ascii="宋体" w:hAnsi="Courier New"/>
      <w:kern w:val="0"/>
      <w:sz w:val="20"/>
      <w:szCs w:val="20"/>
    </w:rPr>
  </w:style>
  <w:style w:type="paragraph" w:styleId="6">
    <w:name w:val="Date"/>
    <w:basedOn w:val="1"/>
    <w:next w:val="1"/>
    <w:link w:val="26"/>
    <w:unhideWhenUsed/>
    <w:qFormat/>
    <w:uiPriority w:val="99"/>
    <w:pPr>
      <w:ind w:left="100" w:leftChars="2500"/>
    </w:pPr>
  </w:style>
  <w:style w:type="paragraph" w:styleId="7">
    <w:name w:val="Balloon Text"/>
    <w:basedOn w:val="1"/>
    <w:link w:val="42"/>
    <w:semiHidden/>
    <w:unhideWhenUsed/>
    <w:qFormat/>
    <w:uiPriority w:val="99"/>
    <w:rPr>
      <w:sz w:val="18"/>
      <w:szCs w:val="18"/>
    </w:rPr>
  </w:style>
  <w:style w:type="paragraph" w:styleId="8">
    <w:name w:val="footer"/>
    <w:basedOn w:val="1"/>
    <w:link w:val="27"/>
    <w:unhideWhenUsed/>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2"/>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1"/>
    <w:next w:val="1"/>
    <w:unhideWhenUsed/>
    <w:qFormat/>
    <w:uiPriority w:val="39"/>
    <w:pPr>
      <w:tabs>
        <w:tab w:val="left" w:pos="425"/>
        <w:tab w:val="right" w:leader="dot" w:pos="8302"/>
      </w:tabs>
      <w:spacing w:line="240" w:lineRule="auto"/>
      <w:jc w:val="both"/>
    </w:pPr>
    <w:rPr>
      <w:rFonts w:ascii="Times New Roman" w:hAnsi="Times New Roman" w:eastAsia="黑体ＣＳ"/>
      <w:sz w:val="36"/>
      <w:szCs w:val="28"/>
      <w:lang w:bidi="ar-SA"/>
    </w:rPr>
  </w:style>
  <w:style w:type="paragraph" w:styleId="11">
    <w:name w:val="index 1"/>
    <w:basedOn w:val="1"/>
    <w:next w:val="1"/>
    <w:semiHidden/>
    <w:qFormat/>
    <w:uiPriority w:val="0"/>
    <w:pPr>
      <w:spacing w:line="360" w:lineRule="auto"/>
      <w:jc w:val="center"/>
    </w:pPr>
    <w:rPr>
      <w:rFonts w:ascii="宋体" w:hAnsi="宋体"/>
      <w:b/>
      <w:bCs/>
      <w:sz w:val="30"/>
      <w:szCs w:val="20"/>
      <w:lang w:bidi="he-IL"/>
    </w:rPr>
  </w:style>
  <w:style w:type="paragraph" w:styleId="12">
    <w:name w:val="Subtitle"/>
    <w:basedOn w:val="1"/>
    <w:link w:val="25"/>
    <w:qFormat/>
    <w:uiPriority w:val="99"/>
    <w:rPr>
      <w:rFonts w:ascii="Calibri" w:hAnsi="Calibri"/>
      <w:sz w:val="28"/>
      <w:szCs w:val="20"/>
    </w:rPr>
  </w:style>
  <w:style w:type="paragraph" w:styleId="13">
    <w:name w:val="toc 2"/>
    <w:basedOn w:val="1"/>
    <w:next w:val="1"/>
    <w:unhideWhenUsed/>
    <w:qFormat/>
    <w:uiPriority w:val="39"/>
    <w:pPr>
      <w:ind w:left="420" w:leftChars="200"/>
    </w:pPr>
  </w:style>
  <w:style w:type="paragraph" w:styleId="14">
    <w:name w:val="Normal (Web)"/>
    <w:basedOn w:val="1"/>
    <w:qFormat/>
    <w:uiPriority w:val="0"/>
    <w:pPr>
      <w:spacing w:before="100" w:beforeAutospacing="1" w:after="100" w:afterAutospacing="1"/>
      <w:jc w:val="left"/>
    </w:pPr>
    <w:rPr>
      <w:rFonts w:ascii="Calibri" w:hAnsi="Calibri"/>
      <w:kern w:val="0"/>
      <w:sz w:val="24"/>
    </w:rPr>
  </w:style>
  <w:style w:type="paragraph" w:styleId="15">
    <w:name w:val="Title"/>
    <w:basedOn w:val="1"/>
    <w:next w:val="1"/>
    <w:link w:val="29"/>
    <w:qFormat/>
    <w:uiPriority w:val="10"/>
    <w:pPr>
      <w:spacing w:before="240" w:after="60"/>
      <w:jc w:val="center"/>
      <w:outlineLvl w:val="0"/>
    </w:pPr>
    <w:rPr>
      <w:rFonts w:ascii="Cambria" w:hAnsi="Cambria"/>
      <w:b/>
      <w:bCs/>
      <w:sz w:val="32"/>
      <w:szCs w:val="32"/>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FollowedHyperlink"/>
    <w:basedOn w:val="18"/>
    <w:unhideWhenUsed/>
    <w:qFormat/>
    <w:uiPriority w:val="99"/>
    <w:rPr>
      <w:color w:val="800080"/>
      <w:u w:val="single"/>
    </w:rPr>
  </w:style>
  <w:style w:type="character" w:styleId="21">
    <w:name w:val="Hyperlink"/>
    <w:basedOn w:val="18"/>
    <w:unhideWhenUsed/>
    <w:qFormat/>
    <w:uiPriority w:val="99"/>
    <w:rPr>
      <w:color w:val="0000FF"/>
      <w:u w:val="single"/>
    </w:rPr>
  </w:style>
  <w:style w:type="character" w:customStyle="1" w:styleId="22">
    <w:name w:val="页眉 Char"/>
    <w:link w:val="9"/>
    <w:qFormat/>
    <w:uiPriority w:val="0"/>
    <w:rPr>
      <w:sz w:val="18"/>
      <w:szCs w:val="18"/>
    </w:rPr>
  </w:style>
  <w:style w:type="character" w:customStyle="1" w:styleId="23">
    <w:name w:val="标题 2 Char"/>
    <w:basedOn w:val="18"/>
    <w:link w:val="4"/>
    <w:qFormat/>
    <w:uiPriority w:val="0"/>
    <w:rPr>
      <w:rFonts w:ascii="Arial" w:hAnsi="Arial" w:eastAsia="黑体"/>
      <w:b/>
      <w:bCs/>
      <w:kern w:val="2"/>
      <w:sz w:val="32"/>
      <w:szCs w:val="32"/>
    </w:rPr>
  </w:style>
  <w:style w:type="character" w:customStyle="1" w:styleId="24">
    <w:name w:val="副标题 Char1"/>
    <w:basedOn w:val="18"/>
    <w:qFormat/>
    <w:uiPriority w:val="11"/>
    <w:rPr>
      <w:rFonts w:ascii="Cambria" w:hAnsi="Cambria" w:cs="Times New Roman"/>
      <w:b/>
      <w:bCs/>
      <w:kern w:val="28"/>
      <w:sz w:val="32"/>
      <w:szCs w:val="32"/>
    </w:rPr>
  </w:style>
  <w:style w:type="character" w:customStyle="1" w:styleId="25">
    <w:name w:val="副标题 Char"/>
    <w:link w:val="12"/>
    <w:qFormat/>
    <w:uiPriority w:val="99"/>
    <w:rPr>
      <w:kern w:val="2"/>
      <w:sz w:val="28"/>
    </w:rPr>
  </w:style>
  <w:style w:type="character" w:customStyle="1" w:styleId="26">
    <w:name w:val="日期 Char"/>
    <w:basedOn w:val="18"/>
    <w:link w:val="6"/>
    <w:semiHidden/>
    <w:qFormat/>
    <w:uiPriority w:val="99"/>
    <w:rPr>
      <w:rFonts w:ascii="Times New Roman" w:hAnsi="Times New Roman"/>
      <w:kern w:val="2"/>
      <w:sz w:val="21"/>
      <w:szCs w:val="24"/>
    </w:rPr>
  </w:style>
  <w:style w:type="character" w:customStyle="1" w:styleId="27">
    <w:name w:val="页脚 Char"/>
    <w:link w:val="8"/>
    <w:qFormat/>
    <w:uiPriority w:val="99"/>
    <w:rPr>
      <w:sz w:val="18"/>
      <w:szCs w:val="18"/>
    </w:rPr>
  </w:style>
  <w:style w:type="character" w:customStyle="1" w:styleId="28">
    <w:name w:val="标题 1 Char"/>
    <w:basedOn w:val="18"/>
    <w:link w:val="3"/>
    <w:qFormat/>
    <w:uiPriority w:val="9"/>
    <w:rPr>
      <w:rFonts w:ascii="Times New Roman" w:hAnsi="Times New Roman"/>
      <w:b/>
      <w:bCs/>
      <w:kern w:val="44"/>
      <w:sz w:val="44"/>
      <w:szCs w:val="44"/>
    </w:rPr>
  </w:style>
  <w:style w:type="character" w:customStyle="1" w:styleId="29">
    <w:name w:val="标题 Char"/>
    <w:basedOn w:val="18"/>
    <w:link w:val="15"/>
    <w:qFormat/>
    <w:uiPriority w:val="10"/>
    <w:rPr>
      <w:rFonts w:ascii="Cambria" w:hAnsi="Cambria" w:cs="Times New Roman"/>
      <w:b/>
      <w:bCs/>
      <w:kern w:val="2"/>
      <w:sz w:val="32"/>
      <w:szCs w:val="32"/>
    </w:rPr>
  </w:style>
  <w:style w:type="character" w:customStyle="1" w:styleId="30">
    <w:name w:val="15"/>
    <w:basedOn w:val="18"/>
    <w:qFormat/>
    <w:uiPriority w:val="0"/>
  </w:style>
  <w:style w:type="paragraph" w:customStyle="1" w:styleId="31">
    <w:name w:val="列出段落1"/>
    <w:basedOn w:val="1"/>
    <w:qFormat/>
    <w:uiPriority w:val="34"/>
    <w:pPr>
      <w:ind w:firstLine="420" w:firstLineChars="200"/>
    </w:pPr>
    <w:rPr>
      <w:rFonts w:ascii="Calibri" w:hAnsi="Calibri"/>
      <w:szCs w:val="22"/>
    </w:rPr>
  </w:style>
  <w:style w:type="paragraph" w:styleId="32">
    <w:name w:val="List Paragraph"/>
    <w:basedOn w:val="1"/>
    <w:qFormat/>
    <w:uiPriority w:val="34"/>
    <w:pPr>
      <w:ind w:firstLine="420" w:firstLineChars="200"/>
    </w:pPr>
    <w:rPr>
      <w:rFonts w:ascii="Calibri" w:hAnsi="Calibri"/>
      <w:szCs w:val="22"/>
    </w:rPr>
  </w:style>
  <w:style w:type="paragraph" w:customStyle="1" w:styleId="33">
    <w:name w:val="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34">
    <w:name w:val="Char"/>
    <w:basedOn w:val="1"/>
    <w:qFormat/>
    <w:uiPriority w:val="0"/>
    <w:rPr>
      <w:rFonts w:ascii="Calibri" w:hAnsi="Calibri"/>
    </w:rPr>
  </w:style>
  <w:style w:type="paragraph" w:customStyle="1" w:styleId="35">
    <w:name w:val="Char1"/>
    <w:basedOn w:val="1"/>
    <w:qFormat/>
    <w:uiPriority w:val="0"/>
  </w:style>
  <w:style w:type="paragraph" w:customStyle="1" w:styleId="36">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7">
    <w:name w:val="char1"/>
    <w:basedOn w:val="1"/>
    <w:qFormat/>
    <w:uiPriority w:val="0"/>
    <w:pPr>
      <w:widowControl/>
      <w:spacing w:before="100" w:beforeAutospacing="1" w:after="100" w:afterAutospacing="1"/>
      <w:jc w:val="left"/>
    </w:pPr>
    <w:rPr>
      <w:rFonts w:ascii="宋体" w:hAnsi="宋体" w:cs="宋体"/>
      <w:kern w:val="0"/>
      <w:sz w:val="24"/>
    </w:rPr>
  </w:style>
  <w:style w:type="character" w:customStyle="1" w:styleId="38">
    <w:name w:val="纯文本 Char"/>
    <w:link w:val="5"/>
    <w:qFormat/>
    <w:locked/>
    <w:uiPriority w:val="0"/>
    <w:rPr>
      <w:rFonts w:ascii="宋体" w:hAnsi="Courier New"/>
    </w:rPr>
  </w:style>
  <w:style w:type="character" w:customStyle="1" w:styleId="39">
    <w:name w:val="纯文本 Char1"/>
    <w:basedOn w:val="18"/>
    <w:link w:val="5"/>
    <w:semiHidden/>
    <w:qFormat/>
    <w:uiPriority w:val="99"/>
    <w:rPr>
      <w:rFonts w:ascii="宋体" w:hAnsi="Courier New" w:cs="Courier New"/>
      <w:kern w:val="2"/>
      <w:sz w:val="21"/>
      <w:szCs w:val="21"/>
    </w:rPr>
  </w:style>
  <w:style w:type="paragraph" w:customStyle="1" w:styleId="40">
    <w:name w:val="Char Char Char Char Char Char Char1 Char"/>
    <w:basedOn w:val="1"/>
    <w:qFormat/>
    <w:uiPriority w:val="0"/>
    <w:rPr>
      <w:rFonts w:ascii="Tahoma" w:hAnsi="Tahoma"/>
      <w:sz w:val="24"/>
      <w:szCs w:val="20"/>
    </w:rPr>
  </w:style>
  <w:style w:type="character" w:styleId="41">
    <w:name w:val="Placeholder Text"/>
    <w:basedOn w:val="18"/>
    <w:unhideWhenUsed/>
    <w:qFormat/>
    <w:uiPriority w:val="99"/>
    <w:rPr>
      <w:color w:val="808080"/>
    </w:rPr>
  </w:style>
  <w:style w:type="character" w:customStyle="1" w:styleId="42">
    <w:name w:val="批注框文本 Char"/>
    <w:basedOn w:val="18"/>
    <w:link w:val="7"/>
    <w:semiHidden/>
    <w:qFormat/>
    <w:uiPriority w:val="99"/>
    <w:rPr>
      <w:rFonts w:ascii="Times New Roman" w:hAnsi="Times New Roman"/>
      <w:kern w:val="2"/>
      <w:sz w:val="18"/>
      <w:szCs w:val="18"/>
    </w:rPr>
  </w:style>
  <w:style w:type="paragraph" w:customStyle="1" w:styleId="43">
    <w:name w:val="Char2"/>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50E26F-055A-49BD-9AFA-15C32F50B940}">
  <ds:schemaRefs/>
</ds:datastoreItem>
</file>

<file path=docProps/app.xml><?xml version="1.0" encoding="utf-8"?>
<Properties xmlns="http://schemas.openxmlformats.org/officeDocument/2006/extended-properties" xmlns:vt="http://schemas.openxmlformats.org/officeDocument/2006/docPropsVTypes">
  <Template>Normal</Template>
  <Pages>13</Pages>
  <Words>5688</Words>
  <Characters>5794</Characters>
  <Lines>50</Lines>
  <Paragraphs>14</Paragraphs>
  <TotalTime>3</TotalTime>
  <ScaleCrop>false</ScaleCrop>
  <LinksUpToDate>false</LinksUpToDate>
  <CharactersWithSpaces>5920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2021-08-20T00:30:00Z</dcterms:created>
  <dc:creator>Administrator</dc:creator>
  <cp:lastModifiedBy>°</cp:lastModifiedBy>
  <cp:lastPrinted>2021-08-20T08:18:00Z</cp:lastPrinted>
  <dcterms:modified xsi:type="dcterms:W3CDTF">2022-08-02T03:05:28Z</dcterms:modified>
  <dc:title>淮北市人民医院办公用纸采购项目竞争性磋商文件</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632C3484FC9144628FDDC50CFE02370B</vt:lpwstr>
  </property>
</Properties>
</file>