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line="300" w:lineRule="exact"/>
        <w:ind w:left="266"/>
        <w:rPr>
          <w:rFonts w:ascii="宋体" w:hAnsi="宋体" w:cs="Arial"/>
          <w:b/>
          <w:sz w:val="24"/>
          <w:szCs w:val="24"/>
        </w:rPr>
      </w:pPr>
      <w:r>
        <w:rPr>
          <w:rFonts w:hint="eastAsia" w:ascii="宋体" w:hAnsi="宋体" w:cs="Arial"/>
          <w:b/>
          <w:sz w:val="24"/>
          <w:szCs w:val="24"/>
        </w:rPr>
        <w:t>综合评分标准</w:t>
      </w:r>
    </w:p>
    <w:p>
      <w:pPr>
        <w:autoSpaceDE w:val="0"/>
        <w:autoSpaceDN w:val="0"/>
        <w:adjustRightInd w:val="0"/>
        <w:spacing w:line="300" w:lineRule="exact"/>
        <w:ind w:firstLine="480" w:firstLineChars="200"/>
        <w:rPr>
          <w:sz w:val="24"/>
        </w:rPr>
      </w:pPr>
      <w:r>
        <w:rPr>
          <w:rFonts w:hint="eastAsia"/>
          <w:sz w:val="24"/>
        </w:rPr>
        <w:t>综合评分的主要因素是：价格</w:t>
      </w:r>
      <w:r>
        <w:rPr>
          <w:rFonts w:hint="eastAsia"/>
          <w:sz w:val="24"/>
          <w:lang w:eastAsia="zh-CN"/>
        </w:rPr>
        <w:t>、</w:t>
      </w:r>
      <w:r>
        <w:rPr>
          <w:rFonts w:hint="eastAsia" w:ascii="宋体" w:hAnsi="宋体"/>
          <w:sz w:val="24"/>
          <w:szCs w:val="24"/>
        </w:rPr>
        <w:t>技术分</w:t>
      </w:r>
      <w:r>
        <w:rPr>
          <w:rFonts w:hint="eastAsia" w:ascii="宋体" w:hAnsi="宋体"/>
          <w:sz w:val="24"/>
          <w:szCs w:val="24"/>
          <w:lang w:eastAsia="zh-CN"/>
        </w:rPr>
        <w:t>、</w:t>
      </w:r>
      <w:r>
        <w:rPr>
          <w:rFonts w:hint="eastAsia" w:ascii="宋体" w:hAnsi="宋体"/>
          <w:sz w:val="24"/>
          <w:szCs w:val="24"/>
        </w:rPr>
        <w:t>资信分</w:t>
      </w:r>
      <w:r>
        <w:rPr>
          <w:rFonts w:hint="eastAsia"/>
          <w:sz w:val="24"/>
        </w:rPr>
        <w:t>对磋商文件的响应程度，以及相应的比重或者权值等。具体评分标准见下表。</w:t>
      </w:r>
    </w:p>
    <w:p>
      <w:pPr>
        <w:autoSpaceDE w:val="0"/>
        <w:autoSpaceDN w:val="0"/>
        <w:adjustRightInd w:val="0"/>
        <w:spacing w:line="300" w:lineRule="exact"/>
        <w:ind w:firstLine="480" w:firstLineChars="200"/>
        <w:rPr>
          <w:sz w:val="24"/>
        </w:rPr>
      </w:pPr>
      <w:r>
        <w:rPr>
          <w:rFonts w:hint="eastAsia"/>
          <w:sz w:val="24"/>
        </w:rPr>
        <w:t>统分原则：供应商总得分</w:t>
      </w:r>
      <w:r>
        <w:rPr>
          <w:sz w:val="24"/>
        </w:rPr>
        <w:t>=</w:t>
      </w:r>
      <w:r>
        <w:rPr>
          <w:rFonts w:hint="eastAsia"/>
          <w:sz w:val="24"/>
        </w:rPr>
        <w:t>供应商</w:t>
      </w:r>
      <w:r>
        <w:rPr>
          <w:rFonts w:hint="eastAsia" w:ascii="宋体" w:hAnsi="宋体"/>
          <w:sz w:val="24"/>
          <w:szCs w:val="24"/>
        </w:rPr>
        <w:t>技术分</w:t>
      </w:r>
      <w:r>
        <w:rPr>
          <w:rFonts w:hint="eastAsia" w:ascii="宋体" w:hAnsi="宋体"/>
          <w:sz w:val="24"/>
          <w:szCs w:val="24"/>
          <w:lang w:val="en-US" w:eastAsia="zh-CN"/>
        </w:rPr>
        <w:t>+</w:t>
      </w:r>
      <w:r>
        <w:rPr>
          <w:rFonts w:hint="eastAsia" w:ascii="宋体" w:hAnsi="宋体"/>
          <w:sz w:val="24"/>
          <w:szCs w:val="24"/>
        </w:rPr>
        <w:t>资信分</w:t>
      </w:r>
      <w:r>
        <w:rPr>
          <w:rFonts w:hint="eastAsia"/>
          <w:sz w:val="24"/>
          <w:lang w:val="en-US" w:eastAsia="zh-CN"/>
        </w:rPr>
        <w:t>+</w:t>
      </w:r>
      <w:r>
        <w:rPr>
          <w:rFonts w:hint="eastAsia"/>
          <w:sz w:val="24"/>
        </w:rPr>
        <w:t>报价得分（所有得分四舍五入取小数点后</w:t>
      </w:r>
      <w:r>
        <w:rPr>
          <w:rFonts w:hint="eastAsia" w:ascii="宋体" w:hAnsi="宋体" w:cs="Arial"/>
          <w:sz w:val="24"/>
          <w:szCs w:val="24"/>
        </w:rPr>
        <w:t>两</w:t>
      </w:r>
      <w:r>
        <w:rPr>
          <w:rFonts w:hint="eastAsia"/>
          <w:sz w:val="24"/>
        </w:rPr>
        <w:t>位）</w:t>
      </w:r>
    </w:p>
    <w:p>
      <w:pPr>
        <w:autoSpaceDE w:val="0"/>
        <w:autoSpaceDN w:val="0"/>
        <w:adjustRightInd w:val="0"/>
        <w:spacing w:line="300" w:lineRule="exact"/>
        <w:ind w:firstLine="480" w:firstLineChars="200"/>
        <w:rPr>
          <w:sz w:val="24"/>
        </w:rPr>
      </w:pPr>
      <w:r>
        <w:rPr>
          <w:rFonts w:hint="eastAsia"/>
          <w:sz w:val="24"/>
        </w:rPr>
        <w:t>评委会将所有评委对同一响应供应商总得分进行累加再取平均值作为该供应商的最终得分，再对所有供应商的最终得分进行排序。得分最高的供应商将作为拟授标的第一成交候选人，其次的为第二成交候选人，依此类推。如最终得分相等时，以价格从低到高排序。</w:t>
      </w:r>
    </w:p>
    <w:p>
      <w:pPr>
        <w:autoSpaceDE w:val="0"/>
        <w:autoSpaceDN w:val="0"/>
        <w:adjustRightInd w:val="0"/>
        <w:spacing w:line="300" w:lineRule="exact"/>
        <w:ind w:firstLine="480" w:firstLineChars="200"/>
        <w:rPr>
          <w:sz w:val="24"/>
        </w:rPr>
      </w:pPr>
      <w:r>
        <w:rPr>
          <w:rFonts w:hint="eastAsia"/>
          <w:sz w:val="24"/>
        </w:rPr>
        <w:t>具体评审标准见下表。</w:t>
      </w:r>
    </w:p>
    <w:tbl>
      <w:tblPr>
        <w:tblStyle w:val="4"/>
        <w:tblW w:w="9396" w:type="dxa"/>
        <w:jc w:val="center"/>
        <w:tblLayout w:type="fixed"/>
        <w:tblCellMar>
          <w:top w:w="0" w:type="dxa"/>
          <w:left w:w="108" w:type="dxa"/>
          <w:bottom w:w="0" w:type="dxa"/>
          <w:right w:w="108" w:type="dxa"/>
        </w:tblCellMar>
      </w:tblPr>
      <w:tblGrid>
        <w:gridCol w:w="1120"/>
        <w:gridCol w:w="2375"/>
        <w:gridCol w:w="5901"/>
      </w:tblGrid>
      <w:tr>
        <w:tblPrEx>
          <w:tblCellMar>
            <w:top w:w="0" w:type="dxa"/>
            <w:left w:w="108" w:type="dxa"/>
            <w:bottom w:w="0" w:type="dxa"/>
            <w:right w:w="108" w:type="dxa"/>
          </w:tblCellMar>
        </w:tblPrEx>
        <w:trPr>
          <w:trHeight w:val="529" w:hRule="atLeast"/>
          <w:jc w:val="center"/>
        </w:trPr>
        <w:tc>
          <w:tcPr>
            <w:tcW w:w="1120" w:type="dxa"/>
            <w:tcBorders>
              <w:top w:val="single" w:color="auto" w:sz="4" w:space="0"/>
              <w:left w:val="single" w:color="auto" w:sz="8" w:space="0"/>
              <w:bottom w:val="single" w:color="auto" w:sz="4" w:space="0"/>
              <w:right w:val="single" w:color="000000" w:sz="8" w:space="0"/>
            </w:tcBorders>
            <w:vAlign w:val="center"/>
          </w:tcPr>
          <w:p>
            <w:pPr>
              <w:spacing w:line="300" w:lineRule="exact"/>
              <w:jc w:val="center"/>
              <w:rPr>
                <w:rFonts w:ascii="宋体" w:hAnsi="宋体"/>
                <w:sz w:val="24"/>
                <w:szCs w:val="24"/>
              </w:rPr>
            </w:pPr>
            <w:r>
              <w:rPr>
                <w:rFonts w:hint="eastAsia" w:ascii="宋体" w:hAnsi="宋体"/>
                <w:sz w:val="24"/>
                <w:szCs w:val="24"/>
              </w:rPr>
              <w:t>评分项目</w:t>
            </w:r>
          </w:p>
        </w:tc>
        <w:tc>
          <w:tcPr>
            <w:tcW w:w="2375" w:type="dxa"/>
            <w:tcBorders>
              <w:top w:val="single" w:color="auto" w:sz="4" w:space="0"/>
              <w:left w:val="nil"/>
              <w:bottom w:val="single" w:color="auto" w:sz="4" w:space="0"/>
              <w:right w:val="single" w:color="auto" w:sz="8" w:space="0"/>
            </w:tcBorders>
            <w:vAlign w:val="center"/>
          </w:tcPr>
          <w:p>
            <w:pPr>
              <w:spacing w:line="300" w:lineRule="exact"/>
              <w:jc w:val="center"/>
              <w:rPr>
                <w:rFonts w:ascii="宋体" w:hAnsi="宋体"/>
                <w:sz w:val="24"/>
                <w:szCs w:val="24"/>
              </w:rPr>
            </w:pPr>
            <w:r>
              <w:rPr>
                <w:rFonts w:ascii="宋体" w:hAnsi="宋体"/>
                <w:sz w:val="24"/>
                <w:szCs w:val="24"/>
              </w:rPr>
              <w:t>评审内容</w:t>
            </w:r>
          </w:p>
        </w:tc>
        <w:tc>
          <w:tcPr>
            <w:tcW w:w="5901" w:type="dxa"/>
            <w:tcBorders>
              <w:top w:val="single" w:color="auto" w:sz="4" w:space="0"/>
              <w:left w:val="nil"/>
              <w:bottom w:val="single" w:color="auto" w:sz="4" w:space="0"/>
              <w:right w:val="single" w:color="auto" w:sz="8" w:space="0"/>
            </w:tcBorders>
            <w:vAlign w:val="center"/>
          </w:tcPr>
          <w:p>
            <w:pPr>
              <w:spacing w:line="300" w:lineRule="exact"/>
              <w:jc w:val="center"/>
              <w:rPr>
                <w:rFonts w:ascii="宋体" w:hAnsi="宋体"/>
                <w:sz w:val="24"/>
                <w:szCs w:val="24"/>
              </w:rPr>
            </w:pPr>
            <w:r>
              <w:rPr>
                <w:rFonts w:ascii="宋体" w:hAnsi="宋体"/>
                <w:sz w:val="24"/>
                <w:szCs w:val="24"/>
              </w:rPr>
              <w:t>评分标准</w:t>
            </w:r>
          </w:p>
        </w:tc>
      </w:tr>
      <w:tr>
        <w:tblPrEx>
          <w:tblCellMar>
            <w:top w:w="0" w:type="dxa"/>
            <w:left w:w="108" w:type="dxa"/>
            <w:bottom w:w="0" w:type="dxa"/>
            <w:right w:w="108" w:type="dxa"/>
          </w:tblCellMar>
        </w:tblPrEx>
        <w:trPr>
          <w:trHeight w:val="909" w:hRule="atLeast"/>
          <w:jc w:val="center"/>
        </w:trPr>
        <w:tc>
          <w:tcPr>
            <w:tcW w:w="1120" w:type="dxa"/>
            <w:tcBorders>
              <w:top w:val="single" w:color="auto" w:sz="8" w:space="0"/>
              <w:left w:val="single" w:color="auto" w:sz="8" w:space="0"/>
              <w:bottom w:val="single" w:color="auto" w:sz="8" w:space="0"/>
              <w:right w:val="single" w:color="000000" w:sz="8" w:space="0"/>
            </w:tcBorders>
            <w:vAlign w:val="center"/>
          </w:tcPr>
          <w:p>
            <w:pPr>
              <w:spacing w:line="300" w:lineRule="exact"/>
              <w:rPr>
                <w:rFonts w:ascii="宋体" w:hAnsi="宋体"/>
                <w:sz w:val="24"/>
                <w:szCs w:val="24"/>
              </w:rPr>
            </w:pPr>
            <w:r>
              <w:rPr>
                <w:rFonts w:hint="eastAsia" w:ascii="宋体" w:hAnsi="宋体"/>
                <w:sz w:val="24"/>
                <w:szCs w:val="24"/>
              </w:rPr>
              <w:t>投标报价（40分）</w:t>
            </w:r>
          </w:p>
        </w:tc>
        <w:tc>
          <w:tcPr>
            <w:tcW w:w="2375" w:type="dxa"/>
            <w:tcBorders>
              <w:top w:val="nil"/>
              <w:left w:val="nil"/>
              <w:bottom w:val="single" w:color="auto" w:sz="8" w:space="0"/>
              <w:right w:val="single" w:color="auto" w:sz="8" w:space="0"/>
            </w:tcBorders>
            <w:vAlign w:val="center"/>
          </w:tcPr>
          <w:p>
            <w:pPr>
              <w:spacing w:line="300" w:lineRule="exact"/>
              <w:ind w:firstLine="240" w:firstLineChars="100"/>
              <w:rPr>
                <w:rFonts w:ascii="宋体" w:hAnsi="宋体"/>
                <w:sz w:val="24"/>
                <w:szCs w:val="24"/>
              </w:rPr>
            </w:pPr>
            <w:r>
              <w:rPr>
                <w:rFonts w:hint="eastAsia" w:ascii="宋体" w:hAnsi="宋体"/>
                <w:sz w:val="24"/>
                <w:szCs w:val="24"/>
              </w:rPr>
              <w:t>报价（40分）</w:t>
            </w:r>
          </w:p>
        </w:tc>
        <w:tc>
          <w:tcPr>
            <w:tcW w:w="5901" w:type="dxa"/>
            <w:tcBorders>
              <w:top w:val="nil"/>
              <w:left w:val="nil"/>
              <w:bottom w:val="single" w:color="auto" w:sz="8" w:space="0"/>
              <w:right w:val="single" w:color="auto" w:sz="8" w:space="0"/>
            </w:tcBorders>
            <w:vAlign w:val="center"/>
          </w:tcPr>
          <w:p>
            <w:pPr>
              <w:spacing w:line="300" w:lineRule="exact"/>
              <w:rPr>
                <w:rFonts w:ascii="宋体" w:hAnsi="宋体"/>
                <w:sz w:val="24"/>
                <w:szCs w:val="24"/>
              </w:rPr>
            </w:pPr>
            <w:r>
              <w:rPr>
                <w:rFonts w:hint="eastAsia" w:ascii="宋体" w:hAnsi="宋体"/>
                <w:sz w:val="24"/>
                <w:szCs w:val="24"/>
              </w:rPr>
              <w:t>价格分统一采用低价优先法，即满足</w:t>
            </w:r>
            <w:r>
              <w:rPr>
                <w:rFonts w:hint="eastAsia" w:ascii="宋体" w:hAnsi="宋体"/>
                <w:sz w:val="24"/>
                <w:szCs w:val="24"/>
                <w:lang w:eastAsia="zh-CN"/>
              </w:rPr>
              <w:t>响应</w:t>
            </w:r>
            <w:r>
              <w:rPr>
                <w:rFonts w:hint="eastAsia" w:ascii="宋体" w:hAnsi="宋体"/>
                <w:sz w:val="24"/>
                <w:szCs w:val="24"/>
              </w:rPr>
              <w:t xml:space="preserve">文件要求且投标价格最低的投标报价为评标基准价，其价格分为满分40 分。其他供应商的价格分统一按照下列公式计算： </w:t>
            </w:r>
          </w:p>
          <w:p>
            <w:pPr>
              <w:spacing w:line="300" w:lineRule="exact"/>
              <w:rPr>
                <w:rFonts w:ascii="宋体" w:hAnsi="宋体"/>
                <w:sz w:val="24"/>
                <w:szCs w:val="24"/>
              </w:rPr>
            </w:pPr>
            <w:r>
              <w:rPr>
                <w:rFonts w:hint="eastAsia" w:ascii="宋体" w:hAnsi="宋体"/>
                <w:sz w:val="24"/>
                <w:szCs w:val="24"/>
              </w:rPr>
              <w:t xml:space="preserve">投标报价得分＝（评标基准价/投标报价）×40％×100 </w:t>
            </w:r>
          </w:p>
        </w:tc>
      </w:tr>
      <w:tr>
        <w:tblPrEx>
          <w:tblCellMar>
            <w:top w:w="0" w:type="dxa"/>
            <w:left w:w="108" w:type="dxa"/>
            <w:bottom w:w="0" w:type="dxa"/>
            <w:right w:w="108" w:type="dxa"/>
          </w:tblCellMar>
        </w:tblPrEx>
        <w:trPr>
          <w:trHeight w:val="547" w:hRule="atLeast"/>
          <w:jc w:val="center"/>
        </w:trPr>
        <w:tc>
          <w:tcPr>
            <w:tcW w:w="1120" w:type="dxa"/>
            <w:vMerge w:val="restart"/>
            <w:tcBorders>
              <w:left w:val="single" w:color="auto" w:sz="4" w:space="0"/>
              <w:right w:val="single" w:color="auto" w:sz="4" w:space="0"/>
            </w:tcBorders>
            <w:vAlign w:val="center"/>
          </w:tcPr>
          <w:p>
            <w:pPr>
              <w:spacing w:line="300" w:lineRule="exact"/>
              <w:jc w:val="center"/>
              <w:rPr>
                <w:rFonts w:hint="eastAsia" w:ascii="宋体" w:hAnsi="宋体"/>
                <w:sz w:val="24"/>
                <w:szCs w:val="24"/>
              </w:rPr>
            </w:pPr>
            <w:r>
              <w:rPr>
                <w:rFonts w:hint="eastAsia" w:ascii="宋体" w:hAnsi="宋体"/>
                <w:sz w:val="24"/>
                <w:szCs w:val="24"/>
              </w:rPr>
              <w:t>技术分</w:t>
            </w:r>
          </w:p>
          <w:p>
            <w:pPr>
              <w:spacing w:line="300" w:lineRule="exact"/>
              <w:jc w:val="center"/>
              <w:rPr>
                <w:rFonts w:ascii="宋体" w:hAnsi="宋体"/>
                <w:sz w:val="24"/>
                <w:szCs w:val="24"/>
              </w:rPr>
            </w:pPr>
            <w:r>
              <w:rPr>
                <w:rFonts w:hint="eastAsia" w:ascii="宋体" w:hAnsi="宋体"/>
                <w:sz w:val="24"/>
                <w:szCs w:val="24"/>
              </w:rPr>
              <w:t>4</w:t>
            </w:r>
            <w:r>
              <w:rPr>
                <w:rFonts w:hint="eastAsia" w:ascii="宋体" w:hAnsi="宋体"/>
                <w:sz w:val="24"/>
                <w:szCs w:val="24"/>
                <w:lang w:val="en-US" w:eastAsia="zh-CN"/>
              </w:rPr>
              <w:t>0</w:t>
            </w:r>
            <w:r>
              <w:rPr>
                <w:rFonts w:hint="eastAsia" w:ascii="宋体" w:hAnsi="宋体"/>
                <w:sz w:val="24"/>
                <w:szCs w:val="24"/>
              </w:rPr>
              <w:t>分</w:t>
            </w:r>
          </w:p>
        </w:tc>
        <w:tc>
          <w:tcPr>
            <w:tcW w:w="2375" w:type="dxa"/>
            <w:tcBorders>
              <w:top w:val="single" w:color="auto" w:sz="4" w:space="0"/>
              <w:left w:val="single" w:color="auto" w:sz="4" w:space="0"/>
              <w:bottom w:val="single" w:color="auto" w:sz="4" w:space="0"/>
              <w:right w:val="single" w:color="auto" w:sz="4" w:space="0"/>
            </w:tcBorders>
            <w:vAlign w:val="center"/>
          </w:tcPr>
          <w:p>
            <w:pPr>
              <w:pStyle w:val="6"/>
              <w:spacing w:before="187" w:line="300" w:lineRule="exact"/>
              <w:ind w:left="657" w:right="77" w:hanging="548"/>
              <w:rPr>
                <w:rFonts w:cs="Times New Roman"/>
                <w:sz w:val="24"/>
                <w:szCs w:val="24"/>
                <w:lang w:val="en-US" w:bidi="ar-SA"/>
              </w:rPr>
            </w:pPr>
            <w:r>
              <w:rPr>
                <w:rFonts w:hint="eastAsia" w:cs="Times New Roman"/>
                <w:sz w:val="24"/>
                <w:szCs w:val="24"/>
                <w:lang w:val="en-US" w:bidi="ar-SA"/>
              </w:rPr>
              <w:t>供应商质量控制能力 （15分)</w:t>
            </w:r>
          </w:p>
        </w:tc>
        <w:tc>
          <w:tcPr>
            <w:tcW w:w="5901" w:type="dxa"/>
            <w:tcBorders>
              <w:top w:val="single" w:color="auto" w:sz="4" w:space="0"/>
              <w:left w:val="single" w:color="auto" w:sz="4" w:space="0"/>
              <w:bottom w:val="single" w:color="auto" w:sz="4" w:space="0"/>
              <w:right w:val="single" w:color="auto" w:sz="4" w:space="0"/>
            </w:tcBorders>
            <w:vAlign w:val="center"/>
          </w:tcPr>
          <w:p>
            <w:pPr>
              <w:pStyle w:val="6"/>
              <w:spacing w:before="79" w:line="300" w:lineRule="exact"/>
              <w:ind w:left="107" w:right="-29"/>
              <w:rPr>
                <w:rFonts w:cs="Times New Roman"/>
                <w:sz w:val="24"/>
                <w:szCs w:val="24"/>
                <w:lang w:val="en-US" w:bidi="ar-SA"/>
              </w:rPr>
            </w:pPr>
            <w:r>
              <w:rPr>
                <w:rFonts w:hint="eastAsia" w:cs="Times New Roman"/>
                <w:sz w:val="24"/>
                <w:szCs w:val="24"/>
                <w:lang w:val="en-US" w:eastAsia="zh-CN" w:bidi="ar-SA"/>
              </w:rPr>
              <w:t>评价</w:t>
            </w:r>
            <w:r>
              <w:rPr>
                <w:rFonts w:hint="eastAsia" w:cs="Times New Roman"/>
                <w:sz w:val="24"/>
                <w:szCs w:val="24"/>
                <w:lang w:val="en-US" w:bidi="ar-SA"/>
              </w:rPr>
              <w:t xml:space="preserve">小组依据但不限于响应文件中生产流程图、质量控制方法、质检制度等材料对供应商进行横向对比，综合评价，按1-15分酌情打分。 </w:t>
            </w:r>
          </w:p>
          <w:p>
            <w:pPr>
              <w:pStyle w:val="6"/>
              <w:spacing w:before="3" w:line="300" w:lineRule="exact"/>
              <w:ind w:left="107" w:right="-15"/>
              <w:rPr>
                <w:rFonts w:cs="Times New Roman"/>
                <w:sz w:val="24"/>
                <w:szCs w:val="24"/>
                <w:lang w:val="en-US" w:bidi="ar-SA"/>
              </w:rPr>
            </w:pPr>
            <w:r>
              <w:rPr>
                <w:rFonts w:hint="eastAsia" w:cs="Times New Roman"/>
                <w:sz w:val="24"/>
                <w:szCs w:val="24"/>
                <w:lang w:val="en-US" w:bidi="ar-SA"/>
              </w:rPr>
              <w:t xml:space="preserve">注：所附材料较少，无法准确判断的，或响应文件没有相关内容的不得分。 </w:t>
            </w:r>
          </w:p>
        </w:tc>
      </w:tr>
      <w:tr>
        <w:tblPrEx>
          <w:tblCellMar>
            <w:top w:w="0" w:type="dxa"/>
            <w:left w:w="108" w:type="dxa"/>
            <w:bottom w:w="0" w:type="dxa"/>
            <w:right w:w="108" w:type="dxa"/>
          </w:tblCellMar>
        </w:tblPrEx>
        <w:trPr>
          <w:trHeight w:val="1023" w:hRule="atLeast"/>
          <w:jc w:val="center"/>
        </w:trPr>
        <w:tc>
          <w:tcPr>
            <w:tcW w:w="1120" w:type="dxa"/>
            <w:vMerge w:val="continue"/>
            <w:tcBorders>
              <w:left w:val="single" w:color="auto" w:sz="4" w:space="0"/>
              <w:right w:val="single" w:color="auto" w:sz="4" w:space="0"/>
            </w:tcBorders>
            <w:vAlign w:val="center"/>
          </w:tcPr>
          <w:p>
            <w:pPr>
              <w:spacing w:line="300" w:lineRule="exact"/>
              <w:jc w:val="center"/>
              <w:rPr>
                <w:rFonts w:ascii="宋体" w:hAnsi="宋体"/>
                <w:sz w:val="24"/>
                <w:szCs w:val="24"/>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工期、售后服务（10分）</w:t>
            </w:r>
          </w:p>
        </w:tc>
        <w:tc>
          <w:tcPr>
            <w:tcW w:w="59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供应商提供优于</w:t>
            </w:r>
            <w:r>
              <w:rPr>
                <w:rFonts w:hint="eastAsia" w:ascii="宋体" w:hAnsi="宋体"/>
                <w:sz w:val="24"/>
                <w:szCs w:val="24"/>
                <w:lang w:eastAsia="zh-CN"/>
              </w:rPr>
              <w:t>响应</w:t>
            </w:r>
            <w:r>
              <w:rPr>
                <w:rFonts w:hint="eastAsia" w:ascii="宋体" w:hAnsi="宋体"/>
                <w:sz w:val="24"/>
                <w:szCs w:val="24"/>
              </w:rPr>
              <w:t>文件要求的售后服务措施的，由磋商小组在1-10 分之间酌情加分。注：供应商提供优于</w:t>
            </w:r>
            <w:r>
              <w:rPr>
                <w:rFonts w:hint="eastAsia" w:ascii="宋体" w:hAnsi="宋体"/>
                <w:sz w:val="24"/>
                <w:szCs w:val="24"/>
                <w:lang w:eastAsia="zh-CN"/>
              </w:rPr>
              <w:t>响应</w:t>
            </w:r>
            <w:r>
              <w:rPr>
                <w:rFonts w:hint="eastAsia" w:ascii="宋体" w:hAnsi="宋体"/>
                <w:sz w:val="24"/>
                <w:szCs w:val="24"/>
              </w:rPr>
              <w:t>文件要求的售后</w:t>
            </w:r>
            <w:bookmarkStart w:id="0" w:name="_GoBack"/>
            <w:bookmarkEnd w:id="0"/>
            <w:r>
              <w:rPr>
                <w:rFonts w:hint="eastAsia" w:ascii="宋体" w:hAnsi="宋体"/>
                <w:sz w:val="24"/>
                <w:szCs w:val="24"/>
              </w:rPr>
              <w:t xml:space="preserve">服务措施的，须提供相关服务承诺，否则不予认可。 </w:t>
            </w:r>
          </w:p>
        </w:tc>
      </w:tr>
      <w:tr>
        <w:tblPrEx>
          <w:tblCellMar>
            <w:top w:w="0" w:type="dxa"/>
            <w:left w:w="108" w:type="dxa"/>
            <w:bottom w:w="0" w:type="dxa"/>
            <w:right w:w="108" w:type="dxa"/>
          </w:tblCellMar>
        </w:tblPrEx>
        <w:trPr>
          <w:trHeight w:val="982" w:hRule="atLeast"/>
          <w:jc w:val="center"/>
        </w:trPr>
        <w:tc>
          <w:tcPr>
            <w:tcW w:w="1120" w:type="dxa"/>
            <w:vMerge w:val="continue"/>
            <w:tcBorders>
              <w:left w:val="single" w:color="auto" w:sz="4" w:space="0"/>
              <w:bottom w:val="single" w:color="auto" w:sz="4" w:space="0"/>
              <w:right w:val="single" w:color="auto" w:sz="4" w:space="0"/>
            </w:tcBorders>
            <w:vAlign w:val="center"/>
          </w:tcPr>
          <w:p>
            <w:pPr>
              <w:spacing w:line="300" w:lineRule="exact"/>
              <w:jc w:val="center"/>
              <w:rPr>
                <w:rFonts w:ascii="宋体" w:hAnsi="宋体"/>
                <w:sz w:val="24"/>
                <w:szCs w:val="24"/>
              </w:rPr>
            </w:pPr>
          </w:p>
        </w:tc>
        <w:tc>
          <w:tcPr>
            <w:tcW w:w="23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综合评价（15分）</w:t>
            </w:r>
          </w:p>
        </w:tc>
        <w:tc>
          <w:tcPr>
            <w:tcW w:w="59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cs="宋体"/>
                <w:color w:val="000000"/>
                <w:spacing w:val="-4"/>
                <w:kern w:val="0"/>
                <w:sz w:val="24"/>
                <w:szCs w:val="24"/>
              </w:rPr>
              <w:t>评审委员会根据投标人投标文件中提供的所投产品</w:t>
            </w:r>
            <w:r>
              <w:rPr>
                <w:rFonts w:hint="eastAsia" w:ascii="宋体" w:hAnsi="宋体"/>
                <w:sz w:val="24"/>
                <w:szCs w:val="24"/>
              </w:rPr>
              <w:t>的综合性价比、</w:t>
            </w:r>
            <w:r>
              <w:rPr>
                <w:rFonts w:hint="eastAsia" w:ascii="宋体" w:hAnsi="宋体" w:cs="宋体"/>
                <w:color w:val="000000"/>
                <w:spacing w:val="-4"/>
                <w:kern w:val="0"/>
                <w:sz w:val="24"/>
                <w:szCs w:val="24"/>
              </w:rPr>
              <w:t>品牌知名度和市场认可度等</w:t>
            </w:r>
            <w:r>
              <w:rPr>
                <w:rFonts w:hint="eastAsia" w:ascii="宋体" w:hAnsi="宋体"/>
                <w:sz w:val="24"/>
                <w:szCs w:val="24"/>
              </w:rPr>
              <w:t>进行主观、横向评审</w:t>
            </w:r>
            <w:r>
              <w:rPr>
                <w:rFonts w:hint="eastAsia" w:ascii="宋体" w:hAnsi="宋体" w:cs="宋体"/>
                <w:color w:val="000000"/>
                <w:spacing w:val="-4"/>
                <w:kern w:val="0"/>
                <w:sz w:val="24"/>
                <w:szCs w:val="24"/>
              </w:rPr>
              <w:t>。</w:t>
            </w:r>
          </w:p>
        </w:tc>
      </w:tr>
      <w:tr>
        <w:tblPrEx>
          <w:tblCellMar>
            <w:top w:w="0" w:type="dxa"/>
            <w:left w:w="108" w:type="dxa"/>
            <w:bottom w:w="0" w:type="dxa"/>
            <w:right w:w="108" w:type="dxa"/>
          </w:tblCellMar>
        </w:tblPrEx>
        <w:trPr>
          <w:trHeight w:val="1765" w:hRule="atLeast"/>
          <w:jc w:val="center"/>
        </w:trPr>
        <w:tc>
          <w:tcPr>
            <w:tcW w:w="1120" w:type="dxa"/>
            <w:tcBorders>
              <w:top w:val="single" w:color="auto" w:sz="4" w:space="0"/>
              <w:left w:val="single" w:color="auto" w:sz="4" w:space="0"/>
              <w:bottom w:val="single" w:color="auto" w:sz="4" w:space="0"/>
              <w:right w:val="single" w:color="auto" w:sz="8" w:space="0"/>
            </w:tcBorders>
            <w:vAlign w:val="center"/>
          </w:tcPr>
          <w:p>
            <w:pPr>
              <w:spacing w:line="300" w:lineRule="exact"/>
              <w:jc w:val="center"/>
              <w:rPr>
                <w:rFonts w:ascii="宋体" w:hAnsi="宋体"/>
                <w:sz w:val="24"/>
                <w:szCs w:val="24"/>
              </w:rPr>
            </w:pPr>
            <w:r>
              <w:rPr>
                <w:rFonts w:hint="eastAsia" w:ascii="宋体" w:hAnsi="宋体"/>
                <w:sz w:val="24"/>
                <w:szCs w:val="24"/>
              </w:rPr>
              <w:t>资信分（</w:t>
            </w:r>
            <w:r>
              <w:rPr>
                <w:rFonts w:hint="eastAsia" w:ascii="宋体" w:hAnsi="宋体"/>
                <w:sz w:val="24"/>
                <w:szCs w:val="24"/>
                <w:lang w:val="en-US" w:eastAsia="zh-CN"/>
              </w:rPr>
              <w:t>20</w:t>
            </w:r>
            <w:r>
              <w:rPr>
                <w:rFonts w:hint="eastAsia" w:ascii="宋体" w:hAnsi="宋体"/>
                <w:sz w:val="24"/>
                <w:szCs w:val="24"/>
              </w:rPr>
              <w:t>）</w:t>
            </w:r>
          </w:p>
        </w:tc>
        <w:tc>
          <w:tcPr>
            <w:tcW w:w="2375"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sz w:val="24"/>
                <w:szCs w:val="24"/>
              </w:rPr>
            </w:pPr>
            <w:r>
              <w:rPr>
                <w:rFonts w:hint="eastAsia" w:ascii="宋体" w:hAnsi="宋体"/>
                <w:sz w:val="24"/>
                <w:szCs w:val="24"/>
              </w:rPr>
              <w:t>业绩（20分）</w:t>
            </w:r>
          </w:p>
        </w:tc>
        <w:tc>
          <w:tcPr>
            <w:tcW w:w="590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sz w:val="24"/>
                <w:szCs w:val="24"/>
              </w:rPr>
            </w:pPr>
            <w:r>
              <w:rPr>
                <w:rFonts w:hint="eastAsia" w:ascii="宋体" w:hAnsi="宋体"/>
                <w:sz w:val="24"/>
                <w:szCs w:val="24"/>
                <w:lang w:val="en-US" w:eastAsia="zh-CN"/>
              </w:rPr>
              <w:t>2018年7月后</w:t>
            </w:r>
            <w:r>
              <w:rPr>
                <w:rFonts w:hint="eastAsia" w:ascii="宋体" w:hAnsi="宋体"/>
                <w:sz w:val="24"/>
                <w:szCs w:val="24"/>
              </w:rPr>
              <w:t>供应商每具备一个业绩5分，提供合同复印件。最高20分</w:t>
            </w:r>
          </w:p>
        </w:tc>
      </w:tr>
    </w:tbl>
    <w:p>
      <w:pPr>
        <w:spacing w:line="300" w:lineRule="exact"/>
      </w:pPr>
    </w:p>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01"/>
    <w:rsid w:val="001859E1"/>
    <w:rsid w:val="001C2611"/>
    <w:rsid w:val="005402E3"/>
    <w:rsid w:val="009827A6"/>
    <w:rsid w:val="00A55397"/>
    <w:rsid w:val="00CB5875"/>
    <w:rsid w:val="00E143C9"/>
    <w:rsid w:val="00F55201"/>
    <w:rsid w:val="04774718"/>
    <w:rsid w:val="134A3A71"/>
    <w:rsid w:val="315538D0"/>
    <w:rsid w:val="3C335B66"/>
    <w:rsid w:val="654A5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Table Paragraph"/>
    <w:basedOn w:val="1"/>
    <w:qFormat/>
    <w:uiPriority w:val="1"/>
    <w:rPr>
      <w:rFonts w:ascii="宋体" w:hAnsi="宋体" w:cs="宋体"/>
      <w:lang w:val="zh-CN" w:bidi="zh-CN"/>
    </w:rPr>
  </w:style>
  <w:style w:type="character" w:customStyle="1" w:styleId="7">
    <w:name w:val="页眉 Char"/>
    <w:basedOn w:val="5"/>
    <w:link w:val="3"/>
    <w:semiHidden/>
    <w:uiPriority w:val="99"/>
    <w:rPr>
      <w:rFonts w:ascii="Times New Roman" w:hAnsi="Times New Roman" w:eastAsia="宋体" w:cs="Times New Roman"/>
      <w:sz w:val="18"/>
      <w:szCs w:val="18"/>
    </w:rPr>
  </w:style>
  <w:style w:type="character" w:customStyle="1" w:styleId="8">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48848A-D713-4D27-A754-142F7F226D47}">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107</Words>
  <Characters>615</Characters>
  <Lines>5</Lines>
  <Paragraphs>1</Paragraphs>
  <TotalTime>2</TotalTime>
  <ScaleCrop>false</ScaleCrop>
  <LinksUpToDate>false</LinksUpToDate>
  <CharactersWithSpaces>721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2020-06-22T08:15:00Z</dcterms:created>
  <dc:creator>Administrator</dc:creator>
  <cp:lastModifiedBy>zhenglei</cp:lastModifiedBy>
  <cp:lastPrinted>2021-08-13T02:32:00Z</cp:lastPrinted>
  <dcterms:modified xsi:type="dcterms:W3CDTF">2021-09-16T01:30:32Z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