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202" w:firstLineChars="1000"/>
        <w:rPr>
          <w:rFonts w:ascii="微软雅黑" w:hAnsi="微软雅黑" w:eastAsia="微软雅黑" w:cs="微软雅黑"/>
          <w:b/>
          <w:color w:val="000000"/>
          <w:sz w:val="32"/>
          <w:szCs w:val="32"/>
        </w:rPr>
      </w:pPr>
      <w:r>
        <w:rPr>
          <w:rFonts w:hint="eastAsia" w:ascii="微软雅黑" w:hAnsi="微软雅黑" w:eastAsia="微软雅黑" w:cs="微软雅黑"/>
          <w:b/>
          <w:color w:val="000000"/>
          <w:sz w:val="32"/>
          <w:szCs w:val="32"/>
        </w:rPr>
        <w:t>蚌埠市中医医院</w:t>
      </w:r>
    </w:p>
    <w:p>
      <w:pPr>
        <w:spacing w:line="360" w:lineRule="auto"/>
        <w:jc w:val="center"/>
        <w:rPr>
          <w:rFonts w:ascii="微软雅黑" w:hAnsi="微软雅黑" w:eastAsia="微软雅黑" w:cs="微软雅黑"/>
          <w:b/>
          <w:sz w:val="32"/>
          <w:szCs w:val="32"/>
        </w:rPr>
      </w:pPr>
      <w:r>
        <w:rPr>
          <w:rFonts w:hint="eastAsia" w:ascii="微软雅黑" w:hAnsi="微软雅黑" w:eastAsia="微软雅黑" w:cs="微软雅黑"/>
          <w:b/>
          <w:sz w:val="32"/>
          <w:szCs w:val="32"/>
        </w:rPr>
        <w:t>电子病历应用评级服务招标文件</w:t>
      </w:r>
    </w:p>
    <w:p>
      <w:pPr>
        <w:spacing w:line="360" w:lineRule="auto"/>
        <w:jc w:val="center"/>
        <w:rPr>
          <w:rFonts w:ascii="微软雅黑" w:hAnsi="微软雅黑" w:eastAsia="微软雅黑" w:cs="微软雅黑"/>
          <w:color w:val="000000"/>
          <w:sz w:val="32"/>
          <w:szCs w:val="32"/>
        </w:rPr>
      </w:pPr>
    </w:p>
    <w:p>
      <w:pPr>
        <w:spacing w:line="360" w:lineRule="auto"/>
        <w:jc w:val="center"/>
        <w:rPr>
          <w:rFonts w:ascii="微软雅黑" w:hAnsi="微软雅黑" w:eastAsia="微软雅黑" w:cs="微软雅黑"/>
          <w:color w:val="000000"/>
          <w:sz w:val="32"/>
          <w:szCs w:val="32"/>
        </w:rPr>
      </w:pPr>
    </w:p>
    <w:p>
      <w:pPr>
        <w:spacing w:line="360" w:lineRule="auto"/>
        <w:jc w:val="center"/>
        <w:rPr>
          <w:rFonts w:ascii="微软雅黑" w:hAnsi="微软雅黑" w:eastAsia="微软雅黑" w:cs="微软雅黑"/>
          <w:color w:val="000000"/>
          <w:sz w:val="32"/>
          <w:szCs w:val="32"/>
        </w:rPr>
      </w:pPr>
    </w:p>
    <w:p>
      <w:pPr>
        <w:spacing w:line="360" w:lineRule="auto"/>
        <w:rPr>
          <w:rFonts w:ascii="微软雅黑" w:hAnsi="微软雅黑" w:eastAsia="微软雅黑" w:cs="微软雅黑"/>
          <w:b/>
          <w:color w:val="000000"/>
          <w:kern w:val="0"/>
          <w:sz w:val="32"/>
          <w:szCs w:val="32"/>
        </w:rPr>
      </w:pPr>
    </w:p>
    <w:p>
      <w:pPr>
        <w:spacing w:line="360" w:lineRule="auto"/>
        <w:jc w:val="center"/>
        <w:rPr>
          <w:rFonts w:ascii="微软雅黑" w:hAnsi="微软雅黑" w:eastAsia="微软雅黑" w:cs="微软雅黑"/>
          <w:color w:val="000000"/>
          <w:sz w:val="32"/>
          <w:szCs w:val="32"/>
        </w:rPr>
      </w:pPr>
      <w:r>
        <w:rPr>
          <w:rFonts w:hint="eastAsia" w:ascii="微软雅黑" w:hAnsi="微软雅黑" w:eastAsia="微软雅黑" w:cs="微软雅黑"/>
          <w:b/>
          <w:color w:val="000000"/>
          <w:kern w:val="0"/>
          <w:sz w:val="32"/>
          <w:szCs w:val="32"/>
        </w:rPr>
        <w:t>项目编号 ：ZYYY20210823002</w:t>
      </w:r>
    </w:p>
    <w:p>
      <w:pPr>
        <w:spacing w:line="360" w:lineRule="auto"/>
        <w:jc w:val="center"/>
        <w:rPr>
          <w:rFonts w:ascii="微软雅黑" w:hAnsi="微软雅黑" w:eastAsia="微软雅黑" w:cs="微软雅黑"/>
          <w:color w:val="000000"/>
          <w:sz w:val="32"/>
          <w:szCs w:val="32"/>
        </w:rPr>
      </w:pPr>
    </w:p>
    <w:p>
      <w:pPr>
        <w:spacing w:line="360" w:lineRule="auto"/>
        <w:rPr>
          <w:rFonts w:ascii="微软雅黑" w:hAnsi="微软雅黑" w:eastAsia="微软雅黑" w:cs="微软雅黑"/>
          <w:color w:val="000000"/>
          <w:sz w:val="32"/>
          <w:szCs w:val="32"/>
        </w:rPr>
      </w:pPr>
    </w:p>
    <w:p>
      <w:pPr>
        <w:spacing w:line="360" w:lineRule="auto"/>
        <w:rPr>
          <w:rFonts w:ascii="微软雅黑" w:hAnsi="微软雅黑" w:eastAsia="微软雅黑" w:cs="微软雅黑"/>
          <w:color w:val="000000"/>
          <w:sz w:val="32"/>
          <w:szCs w:val="32"/>
        </w:rPr>
      </w:pPr>
    </w:p>
    <w:p>
      <w:pPr>
        <w:spacing w:line="360" w:lineRule="auto"/>
        <w:rPr>
          <w:rFonts w:ascii="微软雅黑" w:hAnsi="微软雅黑" w:eastAsia="微软雅黑" w:cs="微软雅黑"/>
          <w:color w:val="000000"/>
          <w:sz w:val="32"/>
          <w:szCs w:val="32"/>
        </w:rPr>
      </w:pPr>
    </w:p>
    <w:p>
      <w:pPr>
        <w:spacing w:line="360" w:lineRule="auto"/>
        <w:rPr>
          <w:rFonts w:ascii="微软雅黑" w:hAnsi="微软雅黑" w:eastAsia="微软雅黑" w:cs="微软雅黑"/>
          <w:color w:val="000000"/>
          <w:sz w:val="32"/>
          <w:szCs w:val="32"/>
        </w:rPr>
      </w:pPr>
    </w:p>
    <w:p>
      <w:pPr>
        <w:spacing w:line="360" w:lineRule="auto"/>
        <w:rPr>
          <w:rFonts w:ascii="微软雅黑" w:hAnsi="微软雅黑" w:eastAsia="微软雅黑" w:cs="微软雅黑"/>
          <w:color w:val="000000"/>
          <w:sz w:val="32"/>
          <w:szCs w:val="32"/>
        </w:rPr>
      </w:pPr>
    </w:p>
    <w:p>
      <w:pPr>
        <w:spacing w:line="360" w:lineRule="auto"/>
        <w:ind w:firstLine="1920" w:firstLineChars="600"/>
        <w:rPr>
          <w:rFonts w:ascii="微软雅黑" w:hAnsi="微软雅黑" w:eastAsia="微软雅黑" w:cs="微软雅黑"/>
          <w:color w:val="000000"/>
          <w:sz w:val="32"/>
          <w:szCs w:val="32"/>
          <w:u w:val="single"/>
        </w:rPr>
      </w:pPr>
      <w:r>
        <w:rPr>
          <w:rFonts w:hint="eastAsia" w:ascii="微软雅黑" w:hAnsi="微软雅黑" w:eastAsia="微软雅黑" w:cs="微软雅黑"/>
          <w:color w:val="000000"/>
          <w:sz w:val="32"/>
          <w:szCs w:val="32"/>
        </w:rPr>
        <w:t>招标方：  蚌埠市中医医院</w:t>
      </w:r>
    </w:p>
    <w:p>
      <w:pPr>
        <w:spacing w:line="360" w:lineRule="auto"/>
        <w:rPr>
          <w:rFonts w:ascii="微软雅黑" w:hAnsi="微软雅黑" w:eastAsia="微软雅黑" w:cs="微软雅黑"/>
          <w:color w:val="000000"/>
          <w:sz w:val="32"/>
          <w:szCs w:val="32"/>
          <w:u w:val="single"/>
        </w:rPr>
      </w:pPr>
    </w:p>
    <w:p>
      <w:pPr>
        <w:spacing w:line="360" w:lineRule="auto"/>
        <w:ind w:firstLine="1920" w:firstLineChars="600"/>
        <w:rPr>
          <w:rFonts w:ascii="微软雅黑" w:hAnsi="微软雅黑" w:eastAsia="微软雅黑" w:cs="微软雅黑"/>
          <w:color w:val="000000"/>
          <w:sz w:val="32"/>
          <w:szCs w:val="32"/>
        </w:rPr>
      </w:pPr>
      <w:r>
        <w:rPr>
          <w:rFonts w:hint="eastAsia" w:ascii="微软雅黑" w:hAnsi="微软雅黑" w:eastAsia="微软雅黑" w:cs="微软雅黑"/>
          <w:color w:val="000000"/>
          <w:sz w:val="32"/>
          <w:szCs w:val="32"/>
        </w:rPr>
        <w:t>日   期：2021年</w:t>
      </w:r>
      <w:r>
        <w:rPr>
          <w:rFonts w:ascii="微软雅黑" w:hAnsi="微软雅黑" w:eastAsia="微软雅黑" w:cs="微软雅黑"/>
          <w:color w:val="000000"/>
          <w:sz w:val="32"/>
          <w:szCs w:val="32"/>
        </w:rPr>
        <w:t>9</w:t>
      </w:r>
      <w:r>
        <w:rPr>
          <w:rFonts w:hint="eastAsia" w:ascii="微软雅黑" w:hAnsi="微软雅黑" w:eastAsia="微软雅黑" w:cs="微软雅黑"/>
          <w:color w:val="000000"/>
          <w:sz w:val="32"/>
          <w:szCs w:val="32"/>
        </w:rPr>
        <w:t>月3日</w:t>
      </w:r>
    </w:p>
    <w:p>
      <w:pPr>
        <w:spacing w:line="360" w:lineRule="auto"/>
        <w:jc w:val="center"/>
        <w:rPr>
          <w:rFonts w:ascii="微软雅黑" w:hAnsi="微软雅黑" w:eastAsia="微软雅黑" w:cs="微软雅黑"/>
          <w:b/>
          <w:color w:val="000000"/>
          <w:sz w:val="32"/>
          <w:szCs w:val="32"/>
        </w:rPr>
      </w:pPr>
    </w:p>
    <w:p>
      <w:pPr>
        <w:spacing w:line="360" w:lineRule="auto"/>
        <w:jc w:val="center"/>
        <w:rPr>
          <w:rFonts w:ascii="微软雅黑" w:hAnsi="微软雅黑" w:eastAsia="微软雅黑" w:cs="微软雅黑"/>
          <w:b/>
          <w:color w:val="000000"/>
          <w:sz w:val="24"/>
        </w:rPr>
      </w:pPr>
    </w:p>
    <w:p>
      <w:pPr>
        <w:spacing w:line="360" w:lineRule="auto"/>
        <w:rPr>
          <w:rFonts w:ascii="微软雅黑" w:hAnsi="微软雅黑" w:eastAsia="微软雅黑" w:cs="微软雅黑"/>
          <w:b/>
          <w:color w:val="000000"/>
          <w:sz w:val="24"/>
        </w:rPr>
      </w:pPr>
    </w:p>
    <w:p>
      <w:pPr>
        <w:spacing w:line="360" w:lineRule="auto"/>
        <w:rPr>
          <w:rFonts w:ascii="微软雅黑" w:hAnsi="微软雅黑" w:eastAsia="微软雅黑" w:cs="微软雅黑"/>
          <w:b/>
          <w:color w:val="000000"/>
          <w:sz w:val="24"/>
        </w:rPr>
      </w:pPr>
    </w:p>
    <w:p>
      <w:pPr>
        <w:spacing w:line="360" w:lineRule="auto"/>
        <w:rPr>
          <w:rFonts w:ascii="微软雅黑" w:hAnsi="微软雅黑" w:eastAsia="微软雅黑" w:cs="微软雅黑"/>
          <w:b/>
          <w:color w:val="000000"/>
          <w:sz w:val="24"/>
        </w:rPr>
      </w:pPr>
    </w:p>
    <w:p>
      <w:pPr>
        <w:spacing w:line="360" w:lineRule="auto"/>
        <w:rPr>
          <w:rFonts w:ascii="微软雅黑" w:hAnsi="微软雅黑" w:eastAsia="微软雅黑" w:cs="微软雅黑"/>
          <w:b/>
          <w:color w:val="000000"/>
          <w:sz w:val="24"/>
        </w:rPr>
      </w:pPr>
    </w:p>
    <w:p>
      <w:pPr>
        <w:spacing w:line="360" w:lineRule="auto"/>
        <w:jc w:val="center"/>
        <w:rPr>
          <w:rFonts w:ascii="微软雅黑" w:hAnsi="微软雅黑" w:eastAsia="微软雅黑" w:cs="微软雅黑"/>
          <w:b/>
          <w:color w:val="000000"/>
          <w:sz w:val="36"/>
          <w:szCs w:val="36"/>
        </w:rPr>
      </w:pPr>
      <w:r>
        <w:rPr>
          <w:rFonts w:hint="eastAsia" w:ascii="微软雅黑" w:hAnsi="微软雅黑" w:eastAsia="微软雅黑" w:cs="微软雅黑"/>
          <w:b/>
          <w:sz w:val="32"/>
          <w:szCs w:val="32"/>
        </w:rPr>
        <w:t>电子病历应用评级服务采购项目</w:t>
      </w:r>
    </w:p>
    <w:p>
      <w:pPr>
        <w:spacing w:line="360" w:lineRule="auto"/>
        <w:ind w:firstLine="480" w:firstLineChars="200"/>
        <w:rPr>
          <w:rFonts w:ascii="微软雅黑" w:hAnsi="微软雅黑" w:eastAsia="微软雅黑" w:cs="微软雅黑"/>
          <w:b/>
          <w:color w:val="000000"/>
          <w:sz w:val="24"/>
        </w:rPr>
      </w:pPr>
      <w:r>
        <w:rPr>
          <w:rFonts w:hint="eastAsia" w:ascii="微软雅黑" w:hAnsi="微软雅黑" w:eastAsia="微软雅黑" w:cs="微软雅黑"/>
          <w:color w:val="000000"/>
          <w:sz w:val="24"/>
        </w:rPr>
        <w:t>根据蚌埠市中医医院采购管理的有关规定，现对电子病历应用评级服务采购项目进行公开招标，欢迎符合本次采购要求的供应商前来投标。</w:t>
      </w:r>
    </w:p>
    <w:p>
      <w:pPr>
        <w:spacing w:line="360" w:lineRule="auto"/>
        <w:rPr>
          <w:rFonts w:ascii="微软雅黑" w:hAnsi="微软雅黑" w:eastAsia="微软雅黑" w:cs="微软雅黑"/>
          <w:b/>
          <w:color w:val="000000"/>
          <w:sz w:val="24"/>
        </w:rPr>
      </w:pPr>
    </w:p>
    <w:p>
      <w:pPr>
        <w:spacing w:line="360" w:lineRule="auto"/>
        <w:rPr>
          <w:rFonts w:ascii="微软雅黑" w:hAnsi="微软雅黑" w:eastAsia="微软雅黑" w:cs="微软雅黑"/>
          <w:b/>
          <w:color w:val="000000"/>
          <w:sz w:val="24"/>
        </w:rPr>
      </w:pPr>
      <w:r>
        <w:rPr>
          <w:rFonts w:hint="eastAsia" w:ascii="微软雅黑" w:hAnsi="微软雅黑" w:eastAsia="微软雅黑" w:cs="微软雅黑"/>
          <w:b/>
          <w:color w:val="000000"/>
          <w:sz w:val="24"/>
        </w:rPr>
        <w:t>一、项目概况</w:t>
      </w:r>
    </w:p>
    <w:p>
      <w:pPr>
        <w:spacing w:line="360" w:lineRule="auto"/>
        <w:ind w:left="424" w:leftChars="202"/>
        <w:rPr>
          <w:rFonts w:ascii="微软雅黑" w:hAnsi="微软雅黑" w:eastAsia="微软雅黑" w:cs="微软雅黑"/>
          <w:color w:val="000000"/>
          <w:sz w:val="24"/>
        </w:rPr>
      </w:pPr>
      <w:r>
        <w:rPr>
          <w:rFonts w:hint="eastAsia" w:ascii="微软雅黑" w:hAnsi="微软雅黑" w:eastAsia="微软雅黑" w:cs="微软雅黑"/>
          <w:color w:val="000000"/>
          <w:sz w:val="24"/>
        </w:rPr>
        <w:t>1.1、名称：电子病历应用评级服务采购项目</w:t>
      </w:r>
    </w:p>
    <w:p>
      <w:pPr>
        <w:spacing w:line="360" w:lineRule="auto"/>
        <w:ind w:left="424" w:leftChars="202"/>
        <w:rPr>
          <w:rFonts w:ascii="微软雅黑" w:hAnsi="微软雅黑" w:eastAsia="微软雅黑" w:cs="微软雅黑"/>
          <w:color w:val="000000"/>
          <w:sz w:val="24"/>
        </w:rPr>
      </w:pPr>
      <w:r>
        <w:rPr>
          <w:rFonts w:hint="eastAsia" w:ascii="微软雅黑" w:hAnsi="微软雅黑" w:eastAsia="微软雅黑" w:cs="微软雅黑"/>
          <w:color w:val="000000"/>
          <w:sz w:val="24"/>
        </w:rPr>
        <w:t>1.2、采购清单：</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870"/>
        <w:gridCol w:w="990"/>
        <w:gridCol w:w="1950"/>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7" w:type="dxa"/>
          </w:tcPr>
          <w:p>
            <w:pPr>
              <w:spacing w:line="360" w:lineRule="auto"/>
              <w:ind w:left="281" w:hanging="281" w:hangingChars="134"/>
              <w:rPr>
                <w:rFonts w:ascii="微软雅黑" w:hAnsi="微软雅黑" w:eastAsia="微软雅黑" w:cs="微软雅黑"/>
                <w:bCs/>
                <w:szCs w:val="21"/>
              </w:rPr>
            </w:pPr>
            <w:r>
              <w:rPr>
                <w:rFonts w:hint="eastAsia" w:ascii="微软雅黑" w:hAnsi="微软雅黑" w:eastAsia="微软雅黑" w:cs="微软雅黑"/>
                <w:bCs/>
                <w:szCs w:val="21"/>
              </w:rPr>
              <w:t>类型</w:t>
            </w:r>
          </w:p>
        </w:tc>
        <w:tc>
          <w:tcPr>
            <w:tcW w:w="870" w:type="dxa"/>
          </w:tcPr>
          <w:p>
            <w:pPr>
              <w:spacing w:line="360" w:lineRule="auto"/>
              <w:ind w:left="281" w:hanging="281" w:hangingChars="134"/>
              <w:rPr>
                <w:rFonts w:ascii="微软雅黑" w:hAnsi="微软雅黑" w:eastAsia="微软雅黑" w:cs="微软雅黑"/>
                <w:bCs/>
                <w:szCs w:val="21"/>
              </w:rPr>
            </w:pPr>
            <w:r>
              <w:rPr>
                <w:rFonts w:hint="eastAsia" w:ascii="微软雅黑" w:hAnsi="微软雅黑" w:eastAsia="微软雅黑" w:cs="微软雅黑"/>
                <w:bCs/>
                <w:szCs w:val="21"/>
              </w:rPr>
              <w:t>单位</w:t>
            </w:r>
          </w:p>
        </w:tc>
        <w:tc>
          <w:tcPr>
            <w:tcW w:w="990" w:type="dxa"/>
          </w:tcPr>
          <w:p>
            <w:pPr>
              <w:spacing w:line="360" w:lineRule="auto"/>
              <w:ind w:left="281" w:hanging="281" w:hangingChars="134"/>
              <w:rPr>
                <w:rFonts w:ascii="微软雅黑" w:hAnsi="微软雅黑" w:eastAsia="微软雅黑" w:cs="微软雅黑"/>
                <w:bCs/>
                <w:szCs w:val="21"/>
              </w:rPr>
            </w:pPr>
            <w:r>
              <w:rPr>
                <w:rFonts w:hint="eastAsia" w:ascii="微软雅黑" w:hAnsi="微软雅黑" w:eastAsia="微软雅黑" w:cs="微软雅黑"/>
                <w:bCs/>
                <w:szCs w:val="21"/>
              </w:rPr>
              <w:t>数量</w:t>
            </w:r>
          </w:p>
        </w:tc>
        <w:tc>
          <w:tcPr>
            <w:tcW w:w="1950" w:type="dxa"/>
          </w:tcPr>
          <w:p>
            <w:pPr>
              <w:spacing w:line="360" w:lineRule="auto"/>
              <w:ind w:left="281" w:hanging="281" w:hangingChars="134"/>
              <w:rPr>
                <w:rFonts w:ascii="微软雅黑" w:hAnsi="微软雅黑" w:eastAsia="微软雅黑" w:cs="微软雅黑"/>
                <w:bCs/>
                <w:szCs w:val="21"/>
              </w:rPr>
            </w:pPr>
            <w:r>
              <w:rPr>
                <w:rFonts w:hint="eastAsia" w:ascii="微软雅黑" w:hAnsi="微软雅黑" w:eastAsia="微软雅黑" w:cs="微软雅黑"/>
                <w:bCs/>
                <w:szCs w:val="21"/>
              </w:rPr>
              <w:t>服务期</w:t>
            </w:r>
          </w:p>
        </w:tc>
        <w:tc>
          <w:tcPr>
            <w:tcW w:w="2475" w:type="dxa"/>
          </w:tcPr>
          <w:p>
            <w:pPr>
              <w:spacing w:line="360" w:lineRule="auto"/>
              <w:ind w:left="281" w:hanging="281" w:hangingChars="134"/>
              <w:rPr>
                <w:rFonts w:ascii="微软雅黑" w:hAnsi="微软雅黑" w:eastAsia="微软雅黑" w:cs="微软雅黑"/>
                <w:bCs/>
                <w:szCs w:val="21"/>
              </w:rPr>
            </w:pPr>
            <w:r>
              <w:rPr>
                <w:rFonts w:hint="eastAsia" w:ascii="微软雅黑" w:hAnsi="微软雅黑" w:eastAsia="微软雅黑" w:cs="微软雅黑"/>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7" w:type="dxa"/>
          </w:tcPr>
          <w:p>
            <w:pPr>
              <w:spacing w:line="360" w:lineRule="auto"/>
              <w:ind w:left="281" w:hanging="281" w:hangingChars="134"/>
              <w:jc w:val="left"/>
              <w:rPr>
                <w:rFonts w:ascii="微软雅黑" w:hAnsi="微软雅黑" w:eastAsia="微软雅黑" w:cs="微软雅黑"/>
                <w:bCs/>
                <w:szCs w:val="21"/>
              </w:rPr>
            </w:pPr>
            <w:r>
              <w:rPr>
                <w:rFonts w:hint="eastAsia" w:ascii="微软雅黑" w:hAnsi="微软雅黑" w:eastAsia="微软雅黑" w:cs="微软雅黑"/>
                <w:bCs/>
                <w:szCs w:val="21"/>
              </w:rPr>
              <w:t>电子病历应用评级（四级）服务</w:t>
            </w:r>
          </w:p>
        </w:tc>
        <w:tc>
          <w:tcPr>
            <w:tcW w:w="870" w:type="dxa"/>
          </w:tcPr>
          <w:p>
            <w:pPr>
              <w:spacing w:line="360" w:lineRule="auto"/>
              <w:ind w:left="281" w:hanging="281" w:hangingChars="134"/>
              <w:rPr>
                <w:rFonts w:ascii="微软雅黑" w:hAnsi="微软雅黑" w:eastAsia="微软雅黑" w:cs="微软雅黑"/>
                <w:bCs/>
                <w:szCs w:val="21"/>
              </w:rPr>
            </w:pPr>
            <w:r>
              <w:rPr>
                <w:rFonts w:hint="eastAsia" w:ascii="微软雅黑" w:hAnsi="微软雅黑" w:eastAsia="微软雅黑" w:cs="微软雅黑"/>
                <w:bCs/>
                <w:szCs w:val="21"/>
              </w:rPr>
              <w:t>份</w:t>
            </w:r>
          </w:p>
        </w:tc>
        <w:tc>
          <w:tcPr>
            <w:tcW w:w="990" w:type="dxa"/>
          </w:tcPr>
          <w:p>
            <w:pPr>
              <w:spacing w:line="360" w:lineRule="auto"/>
              <w:ind w:left="281" w:hanging="281" w:hangingChars="134"/>
              <w:rPr>
                <w:rFonts w:ascii="微软雅黑" w:hAnsi="微软雅黑" w:eastAsia="微软雅黑" w:cs="微软雅黑"/>
                <w:bCs/>
                <w:szCs w:val="21"/>
              </w:rPr>
            </w:pPr>
            <w:r>
              <w:rPr>
                <w:rFonts w:hint="eastAsia" w:ascii="微软雅黑" w:hAnsi="微软雅黑" w:eastAsia="微软雅黑" w:cs="微软雅黑"/>
                <w:bCs/>
                <w:szCs w:val="21"/>
              </w:rPr>
              <w:t>1</w:t>
            </w:r>
          </w:p>
        </w:tc>
        <w:tc>
          <w:tcPr>
            <w:tcW w:w="1950" w:type="dxa"/>
          </w:tcPr>
          <w:p>
            <w:pPr>
              <w:spacing w:line="360" w:lineRule="auto"/>
              <w:ind w:left="281" w:hanging="281" w:hangingChars="134"/>
              <w:rPr>
                <w:rFonts w:ascii="微软雅黑" w:hAnsi="微软雅黑" w:eastAsia="微软雅黑" w:cs="微软雅黑"/>
                <w:bCs/>
                <w:szCs w:val="21"/>
              </w:rPr>
            </w:pPr>
            <w:r>
              <w:rPr>
                <w:rFonts w:hint="eastAsia" w:ascii="微软雅黑" w:hAnsi="微软雅黑" w:eastAsia="微软雅黑" w:cs="微软雅黑"/>
                <w:bCs/>
                <w:szCs w:val="21"/>
              </w:rPr>
              <w:t>官方当年测评结束止</w:t>
            </w:r>
          </w:p>
        </w:tc>
        <w:tc>
          <w:tcPr>
            <w:tcW w:w="2475" w:type="dxa"/>
          </w:tcPr>
          <w:p>
            <w:pPr>
              <w:spacing w:line="360" w:lineRule="auto"/>
              <w:ind w:left="281" w:hanging="281" w:hangingChars="134"/>
              <w:rPr>
                <w:rFonts w:ascii="微软雅黑" w:hAnsi="微软雅黑" w:eastAsia="微软雅黑" w:cs="微软雅黑"/>
                <w:bCs/>
                <w:szCs w:val="21"/>
              </w:rPr>
            </w:pPr>
            <w:r>
              <w:rPr>
                <w:rFonts w:hint="eastAsia" w:ascii="微软雅黑" w:hAnsi="微软雅黑" w:eastAsia="微软雅黑" w:cs="微软雅黑"/>
                <w:bCs/>
                <w:szCs w:val="21"/>
              </w:rPr>
              <w:t>远程或现场指导服务</w:t>
            </w:r>
          </w:p>
        </w:tc>
      </w:tr>
    </w:tbl>
    <w:p>
      <w:pPr>
        <w:spacing w:line="360" w:lineRule="auto"/>
        <w:ind w:left="424" w:leftChars="202"/>
        <w:rPr>
          <w:rFonts w:ascii="微软雅黑" w:hAnsi="微软雅黑" w:eastAsia="微软雅黑" w:cs="微软雅黑"/>
          <w:color w:val="000000"/>
          <w:sz w:val="24"/>
        </w:rPr>
      </w:pPr>
      <w:r>
        <w:rPr>
          <w:rFonts w:hint="eastAsia" w:ascii="微软雅黑" w:hAnsi="微软雅黑" w:eastAsia="微软雅黑" w:cs="微软雅黑"/>
          <w:color w:val="000000"/>
          <w:sz w:val="24"/>
        </w:rPr>
        <w:t>1.3、招标控制价：</w:t>
      </w:r>
      <w:r>
        <w:rPr>
          <w:rFonts w:ascii="微软雅黑" w:hAnsi="微软雅黑" w:eastAsia="微软雅黑" w:cs="微软雅黑"/>
          <w:color w:val="000000"/>
          <w:sz w:val="24"/>
        </w:rPr>
        <w:t>49</w:t>
      </w:r>
      <w:r>
        <w:rPr>
          <w:rFonts w:hint="eastAsia" w:ascii="微软雅黑" w:hAnsi="微软雅黑" w:eastAsia="微软雅黑" w:cs="微软雅黑"/>
          <w:color w:val="000000"/>
          <w:sz w:val="24"/>
        </w:rPr>
        <w:t>000元。</w:t>
      </w:r>
    </w:p>
    <w:p>
      <w:pPr>
        <w:spacing w:line="360" w:lineRule="auto"/>
        <w:rPr>
          <w:rFonts w:ascii="微软雅黑" w:hAnsi="微软雅黑" w:eastAsia="微软雅黑" w:cs="微软雅黑"/>
          <w:color w:val="000000"/>
          <w:sz w:val="24"/>
        </w:rPr>
      </w:pPr>
      <w:r>
        <w:rPr>
          <w:rFonts w:hint="eastAsia" w:ascii="微软雅黑" w:hAnsi="微软雅黑" w:eastAsia="微软雅黑" w:cs="微软雅黑"/>
          <w:b/>
          <w:color w:val="000000"/>
          <w:sz w:val="24"/>
        </w:rPr>
        <w:t>二、招标方式</w:t>
      </w:r>
      <w:r>
        <w:rPr>
          <w:rFonts w:hint="eastAsia" w:ascii="微软雅黑" w:hAnsi="微软雅黑" w:eastAsia="微软雅黑" w:cs="微软雅黑"/>
          <w:color w:val="000000"/>
          <w:sz w:val="24"/>
        </w:rPr>
        <w:t>：公开</w:t>
      </w:r>
    </w:p>
    <w:p>
      <w:pPr>
        <w:spacing w:line="360" w:lineRule="auto"/>
        <w:rPr>
          <w:rFonts w:ascii="微软雅黑" w:hAnsi="微软雅黑" w:eastAsia="微软雅黑" w:cs="微软雅黑"/>
          <w:color w:val="000000"/>
          <w:sz w:val="24"/>
        </w:rPr>
      </w:pPr>
      <w:r>
        <w:rPr>
          <w:rFonts w:hint="eastAsia" w:ascii="微软雅黑" w:hAnsi="微软雅黑" w:eastAsia="微软雅黑" w:cs="微软雅黑"/>
          <w:b/>
          <w:color w:val="000000"/>
          <w:sz w:val="24"/>
        </w:rPr>
        <w:t>三、投标方式</w:t>
      </w:r>
      <w:r>
        <w:rPr>
          <w:rFonts w:hint="eastAsia" w:ascii="微软雅黑" w:hAnsi="微软雅黑" w:eastAsia="微软雅黑" w:cs="微软雅黑"/>
          <w:color w:val="000000"/>
          <w:sz w:val="24"/>
        </w:rPr>
        <w:t>：电子邮件，</w:t>
      </w:r>
      <w:r>
        <w:rPr>
          <w:rFonts w:ascii="微软雅黑" w:hAnsi="微软雅黑" w:eastAsia="微软雅黑" w:cs="微软雅黑"/>
          <w:color w:val="000000"/>
          <w:sz w:val="24"/>
        </w:rPr>
        <w:t>wangqi@bbszyyy.com</w:t>
      </w:r>
    </w:p>
    <w:p>
      <w:pPr>
        <w:spacing w:line="360" w:lineRule="auto"/>
        <w:rPr>
          <w:rFonts w:ascii="微软雅黑" w:hAnsi="微软雅黑" w:eastAsia="微软雅黑" w:cs="微软雅黑"/>
          <w:color w:val="000000"/>
          <w:sz w:val="24"/>
        </w:rPr>
      </w:pPr>
      <w:r>
        <w:rPr>
          <w:rFonts w:hint="eastAsia" w:ascii="微软雅黑" w:hAnsi="微软雅黑" w:eastAsia="微软雅黑" w:cs="微软雅黑"/>
          <w:b/>
          <w:color w:val="000000"/>
          <w:sz w:val="24"/>
        </w:rPr>
        <w:t>四、投标时间</w:t>
      </w:r>
      <w:r>
        <w:rPr>
          <w:rFonts w:hint="eastAsia" w:ascii="微软雅黑" w:hAnsi="微软雅黑" w:eastAsia="微软雅黑" w:cs="微软雅黑"/>
          <w:color w:val="000000"/>
          <w:sz w:val="24"/>
        </w:rPr>
        <w:t xml:space="preserve">：2021 年 </w:t>
      </w:r>
      <w:r>
        <w:rPr>
          <w:rFonts w:ascii="微软雅黑" w:hAnsi="微软雅黑" w:eastAsia="微软雅黑" w:cs="微软雅黑"/>
          <w:color w:val="000000"/>
          <w:sz w:val="24"/>
        </w:rPr>
        <w:t>9</w:t>
      </w:r>
      <w:r>
        <w:rPr>
          <w:rFonts w:hint="eastAsia" w:ascii="微软雅黑" w:hAnsi="微软雅黑" w:eastAsia="微软雅黑" w:cs="微软雅黑"/>
          <w:color w:val="000000"/>
          <w:sz w:val="24"/>
        </w:rPr>
        <w:t xml:space="preserve"> 月  </w:t>
      </w:r>
      <w:r>
        <w:rPr>
          <w:rFonts w:hint="eastAsia" w:ascii="微软雅黑" w:hAnsi="微软雅黑" w:eastAsia="微软雅黑" w:cs="微软雅黑"/>
          <w:color w:val="000000"/>
          <w:sz w:val="24"/>
          <w:lang w:val="en-US" w:eastAsia="zh-CN"/>
        </w:rPr>
        <w:t>9</w:t>
      </w:r>
      <w:r>
        <w:rPr>
          <w:rFonts w:hint="eastAsia" w:ascii="微软雅黑" w:hAnsi="微软雅黑" w:eastAsia="微软雅黑" w:cs="微软雅黑"/>
          <w:color w:val="000000"/>
          <w:sz w:val="24"/>
        </w:rPr>
        <w:t xml:space="preserve"> 日 </w:t>
      </w:r>
    </w:p>
    <w:p>
      <w:pPr>
        <w:spacing w:line="360" w:lineRule="auto"/>
        <w:rPr>
          <w:rFonts w:ascii="微软雅黑" w:hAnsi="微软雅黑" w:eastAsia="微软雅黑" w:cs="微软雅黑"/>
          <w:color w:val="000000"/>
          <w:sz w:val="24"/>
        </w:rPr>
      </w:pPr>
      <w:r>
        <w:rPr>
          <w:rFonts w:hint="eastAsia" w:ascii="微软雅黑" w:hAnsi="微软雅黑" w:eastAsia="微软雅黑" w:cs="微软雅黑"/>
          <w:b/>
          <w:color w:val="000000"/>
          <w:sz w:val="24"/>
        </w:rPr>
        <w:t>五、联系方式</w:t>
      </w:r>
      <w:r>
        <w:rPr>
          <w:rFonts w:hint="eastAsia" w:ascii="微软雅黑" w:hAnsi="微软雅黑" w:eastAsia="微软雅黑" w:cs="微软雅黑"/>
          <w:color w:val="000000"/>
          <w:sz w:val="24"/>
        </w:rPr>
        <w:t>：王老师</w:t>
      </w:r>
      <w:r>
        <w:rPr>
          <w:rFonts w:hint="eastAsia" w:ascii="微软雅黑" w:hAnsi="微软雅黑" w:eastAsia="微软雅黑" w:cs="微软雅黑"/>
          <w:color w:val="000000"/>
          <w:kern w:val="0"/>
          <w:sz w:val="24"/>
        </w:rPr>
        <w:t xml:space="preserve">0552- </w:t>
      </w:r>
      <w:r>
        <w:rPr>
          <w:rFonts w:ascii="微软雅黑" w:hAnsi="微软雅黑" w:eastAsia="微软雅黑" w:cs="微软雅黑"/>
          <w:color w:val="000000"/>
          <w:kern w:val="0"/>
          <w:sz w:val="24"/>
        </w:rPr>
        <w:t>3579090</w:t>
      </w:r>
      <w:r>
        <w:rPr>
          <w:rFonts w:hint="eastAsia" w:ascii="微软雅黑" w:hAnsi="微软雅黑" w:eastAsia="微软雅黑" w:cs="微软雅黑"/>
          <w:color w:val="000000"/>
          <w:kern w:val="0"/>
          <w:sz w:val="24"/>
        </w:rPr>
        <w:t xml:space="preserve">   （中医医院信息科）</w:t>
      </w:r>
    </w:p>
    <w:p>
      <w:pPr>
        <w:spacing w:line="360" w:lineRule="auto"/>
        <w:rPr>
          <w:rFonts w:ascii="微软雅黑" w:hAnsi="微软雅黑" w:eastAsia="微软雅黑" w:cs="微软雅黑"/>
          <w:color w:val="000000"/>
          <w:sz w:val="24"/>
        </w:rPr>
      </w:pPr>
      <w:r>
        <w:rPr>
          <w:rFonts w:hint="eastAsia" w:ascii="微软雅黑" w:hAnsi="微软雅黑" w:eastAsia="微软雅黑" w:cs="微软雅黑"/>
          <w:b/>
          <w:color w:val="000000"/>
          <w:sz w:val="24"/>
        </w:rPr>
        <w:t>六、</w:t>
      </w:r>
      <w:r>
        <w:rPr>
          <w:rFonts w:hint="eastAsia" w:ascii="微软雅黑" w:hAnsi="微软雅黑" w:eastAsia="微软雅黑" w:cs="微软雅黑"/>
          <w:color w:val="000000"/>
          <w:sz w:val="24"/>
        </w:rPr>
        <w:t>开标时间：2</w:t>
      </w:r>
      <w:r>
        <w:rPr>
          <w:rFonts w:ascii="微软雅黑" w:hAnsi="微软雅黑" w:eastAsia="微软雅黑" w:cs="微软雅黑"/>
          <w:color w:val="000000"/>
          <w:sz w:val="24"/>
        </w:rPr>
        <w:t>021</w:t>
      </w:r>
      <w:r>
        <w:rPr>
          <w:rFonts w:hint="eastAsia" w:ascii="微软雅黑" w:hAnsi="微软雅黑" w:eastAsia="微软雅黑" w:cs="微软雅黑"/>
          <w:color w:val="000000"/>
          <w:sz w:val="24"/>
        </w:rPr>
        <w:t>年</w:t>
      </w:r>
      <w:r>
        <w:rPr>
          <w:rFonts w:ascii="微软雅黑" w:hAnsi="微软雅黑" w:eastAsia="微软雅黑" w:cs="微软雅黑"/>
          <w:color w:val="000000"/>
          <w:sz w:val="24"/>
        </w:rPr>
        <w:t>9</w:t>
      </w:r>
      <w:r>
        <w:rPr>
          <w:rFonts w:hint="eastAsia" w:ascii="微软雅黑" w:hAnsi="微软雅黑" w:eastAsia="微软雅黑" w:cs="微软雅黑"/>
          <w:color w:val="000000"/>
          <w:sz w:val="24"/>
        </w:rPr>
        <w:t xml:space="preserve">月 </w:t>
      </w:r>
      <w:r>
        <w:rPr>
          <w:rFonts w:hint="eastAsia" w:ascii="微软雅黑" w:hAnsi="微软雅黑" w:eastAsia="微软雅黑" w:cs="微软雅黑"/>
          <w:color w:val="000000"/>
          <w:sz w:val="24"/>
          <w:lang w:val="en-US" w:eastAsia="zh-CN"/>
        </w:rPr>
        <w:t>9</w:t>
      </w:r>
      <w:bookmarkStart w:id="0" w:name="_GoBack"/>
      <w:bookmarkEnd w:id="0"/>
      <w:r>
        <w:rPr>
          <w:rFonts w:hint="eastAsia" w:ascii="微软雅黑" w:hAnsi="微软雅黑" w:eastAsia="微软雅黑" w:cs="微软雅黑"/>
          <w:color w:val="000000"/>
          <w:sz w:val="24"/>
        </w:rPr>
        <w:t xml:space="preserve"> 日下午三点</w:t>
      </w:r>
    </w:p>
    <w:p>
      <w:pPr>
        <w:spacing w:line="360" w:lineRule="auto"/>
        <w:rPr>
          <w:rFonts w:ascii="微软雅黑" w:hAnsi="微软雅黑" w:eastAsia="微软雅黑" w:cs="微软雅黑"/>
          <w:color w:val="000000"/>
          <w:sz w:val="24"/>
        </w:rPr>
      </w:pPr>
      <w:r>
        <w:rPr>
          <w:rFonts w:hint="eastAsia" w:ascii="微软雅黑" w:hAnsi="微软雅黑" w:eastAsia="微软雅黑" w:cs="微软雅黑"/>
          <w:b/>
          <w:color w:val="000000"/>
          <w:sz w:val="24"/>
        </w:rPr>
        <w:t>七、标地点</w:t>
      </w:r>
      <w:r>
        <w:rPr>
          <w:rFonts w:hint="eastAsia" w:ascii="微软雅黑" w:hAnsi="微软雅黑" w:eastAsia="微软雅黑" w:cs="微软雅黑"/>
          <w:color w:val="000000"/>
          <w:sz w:val="24"/>
        </w:rPr>
        <w:t>：蚌埠市中医医院信息科会议室</w:t>
      </w:r>
    </w:p>
    <w:p>
      <w:pPr>
        <w:spacing w:line="360" w:lineRule="auto"/>
        <w:rPr>
          <w:rFonts w:ascii="微软雅黑" w:hAnsi="微软雅黑" w:eastAsia="微软雅黑" w:cs="微软雅黑"/>
          <w:b/>
          <w:color w:val="000000"/>
          <w:sz w:val="24"/>
          <w:u w:val="single"/>
          <w:shd w:val="pct10" w:color="auto" w:fill="FFFFFF"/>
        </w:rPr>
      </w:pPr>
      <w:r>
        <w:rPr>
          <w:rFonts w:hint="eastAsia" w:ascii="微软雅黑" w:hAnsi="微软雅黑" w:eastAsia="微软雅黑" w:cs="微软雅黑"/>
          <w:b/>
          <w:color w:val="000000"/>
          <w:sz w:val="24"/>
        </w:rPr>
        <w:t>八、标人资质要求</w:t>
      </w:r>
    </w:p>
    <w:p>
      <w:pPr>
        <w:spacing w:line="360" w:lineRule="auto"/>
        <w:ind w:firstLine="480" w:firstLineChars="200"/>
        <w:rPr>
          <w:rFonts w:ascii="微软雅黑" w:hAnsi="微软雅黑" w:eastAsia="微软雅黑" w:cs="微软雅黑"/>
          <w:color w:val="000000"/>
          <w:sz w:val="24"/>
        </w:rPr>
      </w:pPr>
      <w:r>
        <w:rPr>
          <w:rFonts w:ascii="微软雅黑" w:hAnsi="微软雅黑" w:eastAsia="微软雅黑" w:cs="微软雅黑"/>
          <w:color w:val="000000"/>
          <w:sz w:val="24"/>
        </w:rPr>
        <w:t>8</w:t>
      </w:r>
      <w:r>
        <w:rPr>
          <w:rFonts w:hint="eastAsia" w:ascii="微软雅黑" w:hAnsi="微软雅黑" w:eastAsia="微软雅黑" w:cs="微软雅黑"/>
          <w:color w:val="000000"/>
          <w:sz w:val="24"/>
        </w:rPr>
        <w:t>.1、</w:t>
      </w:r>
      <w:r>
        <w:rPr>
          <w:rFonts w:hint="eastAsia" w:ascii="微软雅黑" w:hAnsi="微软雅黑" w:eastAsia="微软雅黑" w:cs="微软雅黑"/>
          <w:sz w:val="24"/>
        </w:rPr>
        <w:t>投标人应具备《政府采购法》第二十二条规定的条件（提供声明函）；</w:t>
      </w:r>
      <w:r>
        <w:rPr>
          <w:rFonts w:hint="eastAsia" w:ascii="微软雅黑" w:hAnsi="微软雅黑" w:eastAsia="微软雅黑" w:cs="微软雅黑"/>
          <w:color w:val="000000"/>
          <w:sz w:val="24"/>
        </w:rPr>
        <w:t xml:space="preserve"> </w:t>
      </w:r>
    </w:p>
    <w:p>
      <w:pPr>
        <w:spacing w:line="360" w:lineRule="auto"/>
        <w:ind w:firstLine="480" w:firstLineChars="200"/>
        <w:rPr>
          <w:rFonts w:ascii="微软雅黑" w:hAnsi="微软雅黑" w:eastAsia="微软雅黑" w:cs="微软雅黑"/>
          <w:color w:val="000000"/>
          <w:sz w:val="24"/>
        </w:rPr>
      </w:pPr>
      <w:r>
        <w:rPr>
          <w:rFonts w:ascii="微软雅黑" w:hAnsi="微软雅黑" w:eastAsia="微软雅黑" w:cs="微软雅黑"/>
          <w:color w:val="000000"/>
          <w:sz w:val="24"/>
        </w:rPr>
        <w:t>8</w:t>
      </w:r>
      <w:r>
        <w:rPr>
          <w:rFonts w:hint="eastAsia" w:ascii="微软雅黑" w:hAnsi="微软雅黑" w:eastAsia="微软雅黑" w:cs="微软雅黑"/>
          <w:color w:val="000000"/>
          <w:sz w:val="24"/>
        </w:rPr>
        <w:t>.2、提供投标人有效的的营业执照复印件（须加盖公章）；</w:t>
      </w:r>
    </w:p>
    <w:p>
      <w:pPr>
        <w:spacing w:line="360" w:lineRule="auto"/>
        <w:ind w:firstLine="480" w:firstLineChars="200"/>
        <w:rPr>
          <w:rFonts w:ascii="微软雅黑" w:hAnsi="微软雅黑" w:eastAsia="微软雅黑" w:cs="微软雅黑"/>
          <w:color w:val="000000"/>
          <w:sz w:val="24"/>
        </w:rPr>
      </w:pPr>
      <w:r>
        <w:rPr>
          <w:rFonts w:ascii="微软雅黑" w:hAnsi="微软雅黑" w:eastAsia="微软雅黑" w:cs="微软雅黑"/>
          <w:color w:val="000000"/>
          <w:sz w:val="24"/>
        </w:rPr>
        <w:t>8</w:t>
      </w:r>
      <w:r>
        <w:rPr>
          <w:rFonts w:hint="eastAsia" w:ascii="微软雅黑" w:hAnsi="微软雅黑" w:eastAsia="微软雅黑" w:cs="微软雅黑"/>
          <w:color w:val="000000"/>
          <w:sz w:val="24"/>
        </w:rPr>
        <w:t>.3、投标人未被列入“信用中国”网站(www.creditchina.gov.cn)失信被执行人、重大税收违法案件当事人名单、政府采购不良行为记录名单；也不处于中国政府采购网(www.ccgp.gov.cn)“政府采购严重违法失信行为信息记录”中的禁止参加政府采购活动期间。（以投标截止日前30天在上述网站查询结果为准，未查询到的视为未被列入上述名单，提供查询结果截图）。</w:t>
      </w:r>
    </w:p>
    <w:p>
      <w:pPr>
        <w:spacing w:line="360" w:lineRule="auto"/>
        <w:rPr>
          <w:rFonts w:ascii="微软雅黑" w:hAnsi="微软雅黑" w:eastAsia="微软雅黑" w:cs="微软雅黑"/>
          <w:color w:val="000000"/>
          <w:sz w:val="24"/>
        </w:rPr>
      </w:pPr>
      <w:r>
        <w:rPr>
          <w:rFonts w:hint="eastAsia" w:ascii="微软雅黑" w:hAnsi="微软雅黑" w:eastAsia="微软雅黑" w:cs="微软雅黑"/>
          <w:color w:val="000000"/>
          <w:sz w:val="24"/>
        </w:rPr>
        <w:t xml:space="preserve">    上述资料须加盖公章，一次性递交，不接受补充资料。</w:t>
      </w:r>
    </w:p>
    <w:p>
      <w:pPr>
        <w:spacing w:line="360" w:lineRule="auto"/>
        <w:outlineLvl w:val="0"/>
        <w:rPr>
          <w:rFonts w:ascii="微软雅黑" w:hAnsi="微软雅黑" w:eastAsia="微软雅黑" w:cs="微软雅黑"/>
          <w:b/>
          <w:color w:val="000000"/>
          <w:sz w:val="24"/>
        </w:rPr>
      </w:pPr>
      <w:r>
        <w:rPr>
          <w:rFonts w:hint="eastAsia" w:ascii="微软雅黑" w:hAnsi="微软雅黑" w:eastAsia="微软雅黑" w:cs="微软雅黑"/>
          <w:b/>
          <w:color w:val="000000"/>
          <w:sz w:val="24"/>
        </w:rPr>
        <w:t>九、投标文件说明</w:t>
      </w:r>
    </w:p>
    <w:p>
      <w:pPr>
        <w:snapToGrid w:val="0"/>
        <w:spacing w:line="480" w:lineRule="exact"/>
        <w:ind w:firstLine="567" w:firstLineChars="236"/>
        <w:rPr>
          <w:rFonts w:ascii="微软雅黑" w:hAnsi="微软雅黑" w:eastAsia="微软雅黑" w:cs="微软雅黑"/>
          <w:b/>
          <w:color w:val="000000"/>
          <w:sz w:val="24"/>
        </w:rPr>
      </w:pPr>
      <w:r>
        <w:rPr>
          <w:rFonts w:ascii="微软雅黑" w:hAnsi="微软雅黑" w:eastAsia="微软雅黑" w:cs="微软雅黑"/>
          <w:b/>
          <w:color w:val="000000"/>
          <w:sz w:val="24"/>
        </w:rPr>
        <w:t>9</w:t>
      </w:r>
      <w:r>
        <w:rPr>
          <w:rFonts w:hint="eastAsia" w:ascii="微软雅黑" w:hAnsi="微软雅黑" w:eastAsia="微软雅黑" w:cs="微软雅黑"/>
          <w:b/>
          <w:color w:val="000000"/>
          <w:sz w:val="24"/>
        </w:rPr>
        <w:t>.1、投标文件要求</w:t>
      </w:r>
    </w:p>
    <w:p>
      <w:pPr>
        <w:widowControl/>
        <w:spacing w:line="360" w:lineRule="auto"/>
        <w:ind w:firstLine="566" w:firstLineChars="236"/>
        <w:jc w:val="left"/>
        <w:rPr>
          <w:rFonts w:ascii="微软雅黑" w:hAnsi="微软雅黑" w:eastAsia="微软雅黑" w:cs="微软雅黑"/>
          <w:color w:val="000000"/>
          <w:sz w:val="24"/>
        </w:rPr>
      </w:pPr>
      <w:r>
        <w:rPr>
          <w:rFonts w:ascii="微软雅黑" w:hAnsi="微软雅黑" w:eastAsia="微软雅黑" w:cs="微软雅黑"/>
          <w:color w:val="000000"/>
          <w:sz w:val="24"/>
        </w:rPr>
        <w:t>9</w:t>
      </w:r>
      <w:r>
        <w:rPr>
          <w:rFonts w:hint="eastAsia" w:ascii="微软雅黑" w:hAnsi="微软雅黑" w:eastAsia="微软雅黑" w:cs="微软雅黑"/>
          <w:color w:val="000000"/>
          <w:sz w:val="24"/>
        </w:rPr>
        <w:t>.1.1、投标文件包含正本一份，副本肆份，在每一份投标文件上要明确标注投标项目名称、投标人全称，日期、“正本”、“副本”字样等信息。</w:t>
      </w:r>
    </w:p>
    <w:p>
      <w:pPr>
        <w:widowControl/>
        <w:spacing w:line="360" w:lineRule="auto"/>
        <w:ind w:firstLine="566" w:firstLineChars="236"/>
        <w:jc w:val="left"/>
        <w:rPr>
          <w:rFonts w:ascii="微软雅黑" w:hAnsi="微软雅黑" w:eastAsia="微软雅黑" w:cs="微软雅黑"/>
          <w:color w:val="000000"/>
          <w:sz w:val="24"/>
        </w:rPr>
      </w:pPr>
      <w:r>
        <w:rPr>
          <w:rFonts w:ascii="微软雅黑" w:hAnsi="微软雅黑" w:eastAsia="微软雅黑" w:cs="微软雅黑"/>
          <w:color w:val="000000"/>
          <w:sz w:val="24"/>
        </w:rPr>
        <w:t>9</w:t>
      </w:r>
      <w:r>
        <w:rPr>
          <w:rFonts w:hint="eastAsia" w:ascii="微软雅黑" w:hAnsi="微软雅黑" w:eastAsia="微软雅黑" w:cs="微软雅黑"/>
          <w:color w:val="000000"/>
          <w:sz w:val="24"/>
        </w:rPr>
        <w:t>.1.2、投标正本须打印并由投标人的法定代表人或授权人签字并加盖单位公章，副本可复印。</w:t>
      </w:r>
    </w:p>
    <w:p>
      <w:pPr>
        <w:widowControl/>
        <w:spacing w:line="360" w:lineRule="auto"/>
        <w:ind w:firstLine="566" w:firstLineChars="236"/>
        <w:jc w:val="left"/>
        <w:rPr>
          <w:rFonts w:ascii="微软雅黑" w:hAnsi="微软雅黑" w:eastAsia="微软雅黑" w:cs="微软雅黑"/>
          <w:color w:val="000000"/>
          <w:sz w:val="24"/>
        </w:rPr>
      </w:pPr>
      <w:r>
        <w:rPr>
          <w:rFonts w:ascii="微软雅黑" w:hAnsi="微软雅黑" w:eastAsia="微软雅黑" w:cs="微软雅黑"/>
          <w:color w:val="000000"/>
          <w:sz w:val="24"/>
        </w:rPr>
        <w:t>9</w:t>
      </w:r>
      <w:r>
        <w:rPr>
          <w:rFonts w:hint="eastAsia" w:ascii="微软雅黑" w:hAnsi="微软雅黑" w:eastAsia="微软雅黑" w:cs="微软雅黑"/>
          <w:color w:val="000000"/>
          <w:sz w:val="24"/>
        </w:rPr>
        <w:t>.1.3、投标人应将正本和副本一起密封。</w:t>
      </w:r>
    </w:p>
    <w:p>
      <w:pPr>
        <w:widowControl/>
        <w:spacing w:line="360" w:lineRule="auto"/>
        <w:ind w:firstLine="566" w:firstLineChars="236"/>
        <w:jc w:val="left"/>
        <w:rPr>
          <w:rFonts w:ascii="微软雅黑" w:hAnsi="微软雅黑" w:eastAsia="微软雅黑" w:cs="微软雅黑"/>
          <w:color w:val="000000"/>
          <w:sz w:val="24"/>
        </w:rPr>
      </w:pPr>
      <w:r>
        <w:rPr>
          <w:rFonts w:ascii="微软雅黑" w:hAnsi="微软雅黑" w:eastAsia="微软雅黑" w:cs="微软雅黑"/>
          <w:color w:val="000000"/>
          <w:sz w:val="24"/>
        </w:rPr>
        <w:t>9</w:t>
      </w:r>
      <w:r>
        <w:rPr>
          <w:rFonts w:hint="eastAsia" w:ascii="微软雅黑" w:hAnsi="微软雅黑" w:eastAsia="微软雅黑" w:cs="微软雅黑"/>
          <w:color w:val="000000"/>
          <w:sz w:val="24"/>
        </w:rPr>
        <w:t>.1.4、密封后应标明招标项目名称、项目编号、边缝处加盖单位骑缝章或骑缝签字，并注明于开标前不得启封。</w:t>
      </w:r>
    </w:p>
    <w:p>
      <w:pPr>
        <w:widowControl/>
        <w:spacing w:line="360" w:lineRule="auto"/>
        <w:ind w:firstLine="566" w:firstLineChars="236"/>
        <w:jc w:val="left"/>
        <w:rPr>
          <w:rFonts w:ascii="微软雅黑" w:hAnsi="微软雅黑" w:eastAsia="微软雅黑" w:cs="微软雅黑"/>
          <w:b/>
          <w:color w:val="000000"/>
          <w:sz w:val="24"/>
        </w:rPr>
      </w:pPr>
      <w:r>
        <w:rPr>
          <w:rFonts w:hint="eastAsia" w:ascii="微软雅黑" w:hAnsi="微软雅黑" w:eastAsia="微软雅黑" w:cs="微软雅黑"/>
          <w:color w:val="000000"/>
          <w:sz w:val="24"/>
        </w:rPr>
        <w:t>所有投标文件都必须按招标方在投标规定的投标时间送至招标方。招标方将拒绝在投标截止时间后收到的投标文件。</w:t>
      </w:r>
    </w:p>
    <w:p>
      <w:pPr>
        <w:snapToGrid w:val="0"/>
        <w:spacing w:line="480" w:lineRule="exact"/>
        <w:ind w:firstLine="567" w:firstLineChars="236"/>
        <w:rPr>
          <w:rFonts w:ascii="微软雅黑" w:hAnsi="微软雅黑" w:eastAsia="微软雅黑" w:cs="微软雅黑"/>
          <w:b/>
          <w:color w:val="000000"/>
          <w:sz w:val="24"/>
        </w:rPr>
      </w:pPr>
      <w:r>
        <w:rPr>
          <w:rFonts w:ascii="微软雅黑" w:hAnsi="微软雅黑" w:eastAsia="微软雅黑" w:cs="微软雅黑"/>
          <w:b/>
          <w:color w:val="000000"/>
          <w:sz w:val="24"/>
        </w:rPr>
        <w:t>9</w:t>
      </w:r>
      <w:r>
        <w:rPr>
          <w:rFonts w:hint="eastAsia" w:ascii="微软雅黑" w:hAnsi="微软雅黑" w:eastAsia="微软雅黑" w:cs="微软雅黑"/>
          <w:b/>
          <w:color w:val="000000"/>
          <w:sz w:val="24"/>
        </w:rPr>
        <w:t>.2、投标文件的组成</w:t>
      </w:r>
    </w:p>
    <w:p>
      <w:pPr>
        <w:widowControl/>
        <w:spacing w:line="360" w:lineRule="auto"/>
        <w:ind w:firstLine="566" w:firstLineChars="236"/>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投标文件内须附以下资料（所有复印件须加盖单位公章）：</w:t>
      </w:r>
    </w:p>
    <w:p>
      <w:pPr>
        <w:widowControl/>
        <w:spacing w:line="360" w:lineRule="auto"/>
        <w:ind w:firstLine="566" w:firstLineChars="236"/>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1）投标资质材料（第九条所列资料）；</w:t>
      </w:r>
    </w:p>
    <w:p>
      <w:pPr>
        <w:widowControl/>
        <w:spacing w:line="360" w:lineRule="auto"/>
        <w:ind w:firstLine="566" w:firstLineChars="236"/>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2）法定代表人身份证复印件，如由委托代理人投标的，还需提供代理人身份证复印件及法定代表人授权委托书原件；</w:t>
      </w:r>
    </w:p>
    <w:p>
      <w:pPr>
        <w:widowControl/>
        <w:spacing w:line="360" w:lineRule="auto"/>
        <w:ind w:firstLine="566" w:firstLineChars="236"/>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3）招标人需要服务内容；</w:t>
      </w:r>
    </w:p>
    <w:p>
      <w:pPr>
        <w:widowControl/>
        <w:spacing w:line="360" w:lineRule="auto"/>
        <w:ind w:firstLine="566" w:firstLineChars="236"/>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4）《电子病历应用评级服务采购项目报价文件》[报价文件格式见附件2]；</w:t>
      </w:r>
    </w:p>
    <w:p>
      <w:pPr>
        <w:widowControl/>
        <w:spacing w:line="360" w:lineRule="auto"/>
        <w:ind w:firstLine="566" w:firstLineChars="236"/>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5）投标人认为需要提供的其它资料。</w:t>
      </w:r>
    </w:p>
    <w:p>
      <w:pPr>
        <w:spacing w:line="360" w:lineRule="auto"/>
        <w:ind w:firstLine="360" w:firstLineChars="150"/>
        <w:rPr>
          <w:rFonts w:ascii="微软雅黑" w:hAnsi="微软雅黑" w:eastAsia="微软雅黑" w:cs="微软雅黑"/>
          <w:color w:val="000000"/>
          <w:sz w:val="24"/>
        </w:rPr>
      </w:pPr>
    </w:p>
    <w:p>
      <w:pPr>
        <w:spacing w:line="360" w:lineRule="auto"/>
        <w:rPr>
          <w:rFonts w:ascii="微软雅黑" w:hAnsi="微软雅黑" w:eastAsia="微软雅黑" w:cs="微软雅黑"/>
          <w:b/>
          <w:color w:val="000000"/>
          <w:sz w:val="24"/>
        </w:rPr>
      </w:pPr>
      <w:r>
        <w:rPr>
          <w:rFonts w:hint="eastAsia" w:ascii="微软雅黑" w:hAnsi="微软雅黑" w:eastAsia="微软雅黑" w:cs="微软雅黑"/>
          <w:b/>
          <w:color w:val="000000"/>
          <w:sz w:val="24"/>
        </w:rPr>
        <w:t>十、项目资金兑付</w:t>
      </w:r>
    </w:p>
    <w:p>
      <w:pPr>
        <w:spacing w:line="360" w:lineRule="auto"/>
        <w:ind w:firstLine="371" w:firstLineChars="177"/>
        <w:rPr>
          <w:rFonts w:ascii="微软雅黑" w:hAnsi="微软雅黑" w:eastAsia="微软雅黑" w:cs="微软雅黑"/>
        </w:rPr>
      </w:pPr>
      <w:r>
        <w:rPr>
          <w:rFonts w:hint="eastAsia" w:ascii="微软雅黑" w:hAnsi="微软雅黑" w:eastAsia="微软雅黑" w:cs="微软雅黑"/>
          <w:szCs w:val="21"/>
        </w:rPr>
        <w:t>1、</w:t>
      </w:r>
      <w:r>
        <w:rPr>
          <w:rFonts w:hint="eastAsia" w:ascii="微软雅黑" w:hAnsi="微软雅黑" w:eastAsia="微软雅黑" w:cs="微软雅黑"/>
          <w:b/>
          <w:color w:val="000000"/>
          <w:szCs w:val="21"/>
        </w:rPr>
        <w:t>项目资金：</w:t>
      </w:r>
      <w:r>
        <w:rPr>
          <w:rFonts w:hint="eastAsia" w:ascii="微软雅黑" w:hAnsi="微软雅黑" w:eastAsia="微软雅黑" w:cs="微软雅黑"/>
          <w:bCs/>
          <w:color w:val="000000"/>
          <w:sz w:val="24"/>
        </w:rPr>
        <w:t>合同签订后蚌埠市中医医院支付首付款，</w:t>
      </w:r>
      <w:r>
        <w:rPr>
          <w:rFonts w:hint="eastAsia" w:ascii="微软雅黑" w:hAnsi="微软雅黑" w:eastAsia="微软雅黑" w:cs="微软雅黑"/>
          <w:b/>
          <w:color w:val="000000"/>
          <w:sz w:val="24"/>
          <w:u w:val="single"/>
        </w:rPr>
        <w:t>合同额的50%</w:t>
      </w:r>
      <w:r>
        <w:rPr>
          <w:rFonts w:hint="eastAsia" w:ascii="微软雅黑" w:hAnsi="微软雅黑" w:eastAsia="微软雅黑" w:cs="微软雅黑"/>
          <w:bCs/>
          <w:color w:val="000000"/>
          <w:sz w:val="24"/>
        </w:rPr>
        <w:t xml:space="preserve"> ，等待</w:t>
      </w:r>
      <w:r>
        <w:rPr>
          <w:rFonts w:hint="eastAsia" w:ascii="微软雅黑" w:hAnsi="微软雅黑" w:eastAsia="微软雅黑" w:cs="微软雅黑"/>
          <w:color w:val="000000"/>
          <w:sz w:val="24"/>
        </w:rPr>
        <w:t>电子病历应用评级服务相关服务完成</w:t>
      </w:r>
      <w:r>
        <w:rPr>
          <w:rFonts w:hint="eastAsia" w:ascii="微软雅黑" w:hAnsi="微软雅黑" w:eastAsia="微软雅黑" w:cs="微软雅黑"/>
          <w:sz w:val="24"/>
        </w:rPr>
        <w:t>，且官方测评后七个工作日内支付剩余合同总价款。</w:t>
      </w:r>
    </w:p>
    <w:p>
      <w:pPr>
        <w:widowControl/>
        <w:tabs>
          <w:tab w:val="left" w:pos="720"/>
        </w:tabs>
        <w:spacing w:line="360" w:lineRule="auto"/>
        <w:ind w:firstLine="315" w:firstLineChars="150"/>
        <w:jc w:val="left"/>
        <w:rPr>
          <w:rFonts w:ascii="微软雅黑" w:hAnsi="微软雅黑" w:eastAsia="微软雅黑" w:cs="微软雅黑"/>
          <w:kern w:val="0"/>
          <w:szCs w:val="21"/>
        </w:rPr>
      </w:pPr>
      <w:r>
        <w:rPr>
          <w:rFonts w:hint="eastAsia" w:ascii="微软雅黑" w:hAnsi="微软雅黑" w:eastAsia="微软雅黑" w:cs="微软雅黑"/>
          <w:b/>
          <w:color w:val="000000"/>
          <w:kern w:val="0"/>
          <w:szCs w:val="21"/>
        </w:rPr>
        <w:t>2、投标保证金：</w:t>
      </w:r>
      <w:r>
        <w:rPr>
          <w:rFonts w:hint="eastAsia" w:ascii="微软雅黑" w:hAnsi="微软雅黑" w:eastAsia="微软雅黑" w:cs="微软雅黑"/>
          <w:color w:val="000000"/>
          <w:kern w:val="0"/>
          <w:sz w:val="24"/>
        </w:rPr>
        <w:t>招标人收取投标保证金人民币壹仟元整，在投标截止时间之前汇款至指定账户（户名：蚌埠市中医医院，开户行：</w:t>
      </w:r>
      <w:r>
        <w:rPr>
          <w:rFonts w:hint="eastAsia" w:ascii="微软雅黑" w:hAnsi="微软雅黑" w:eastAsia="微软雅黑" w:cs="微软雅黑"/>
          <w:b/>
          <w:bCs/>
          <w:color w:val="000000"/>
          <w:kern w:val="0"/>
          <w:sz w:val="24"/>
          <w:u w:val="single"/>
        </w:rPr>
        <w:t>中国工商银行蚌埠淮上支行</w:t>
      </w:r>
      <w:r>
        <w:rPr>
          <w:rFonts w:hint="eastAsia" w:ascii="微软雅黑" w:hAnsi="微软雅黑" w:eastAsia="微软雅黑" w:cs="微软雅黑"/>
          <w:color w:val="000000"/>
          <w:kern w:val="0"/>
          <w:sz w:val="24"/>
        </w:rPr>
        <w:t>，账号：</w:t>
      </w:r>
      <w:r>
        <w:rPr>
          <w:rFonts w:hint="eastAsia" w:ascii="微软雅黑" w:hAnsi="微软雅黑" w:eastAsia="微软雅黑" w:cs="微软雅黑"/>
          <w:b/>
          <w:bCs/>
          <w:color w:val="000000"/>
          <w:kern w:val="0"/>
          <w:sz w:val="24"/>
          <w:u w:val="single"/>
        </w:rPr>
        <w:t>1</w:t>
      </w:r>
      <w:r>
        <w:rPr>
          <w:rFonts w:ascii="微软雅黑" w:hAnsi="微软雅黑" w:eastAsia="微软雅黑" w:cs="微软雅黑"/>
          <w:b/>
          <w:bCs/>
          <w:color w:val="000000"/>
          <w:kern w:val="0"/>
          <w:sz w:val="24"/>
          <w:u w:val="single"/>
        </w:rPr>
        <w:t>303222419200017293</w:t>
      </w:r>
      <w:r>
        <w:rPr>
          <w:rFonts w:hint="eastAsia" w:ascii="微软雅黑" w:hAnsi="微软雅黑" w:eastAsia="微软雅黑" w:cs="微软雅黑"/>
          <w:color w:val="000000"/>
          <w:kern w:val="0"/>
          <w:sz w:val="24"/>
        </w:rPr>
        <w:t>， 统一社会信用代码：</w:t>
      </w:r>
      <w:r>
        <w:rPr>
          <w:rFonts w:hint="eastAsia" w:ascii="微软雅黑" w:hAnsi="微软雅黑" w:eastAsia="微软雅黑" w:cs="微软雅黑"/>
          <w:b/>
          <w:bCs/>
          <w:color w:val="000000"/>
          <w:kern w:val="0"/>
          <w:sz w:val="24"/>
          <w:u w:val="single"/>
        </w:rPr>
        <w:t>1</w:t>
      </w:r>
      <w:r>
        <w:rPr>
          <w:rFonts w:ascii="微软雅黑" w:hAnsi="微软雅黑" w:eastAsia="微软雅黑" w:cs="微软雅黑"/>
          <w:b/>
          <w:bCs/>
          <w:color w:val="000000"/>
          <w:kern w:val="0"/>
          <w:sz w:val="24"/>
          <w:u w:val="single"/>
        </w:rPr>
        <w:t>2340300485221556</w:t>
      </w:r>
      <w:r>
        <w:rPr>
          <w:rFonts w:hint="eastAsia" w:ascii="微软雅黑" w:hAnsi="微软雅黑" w:eastAsia="微软雅黑" w:cs="微软雅黑"/>
          <w:b/>
          <w:bCs/>
          <w:color w:val="000000"/>
          <w:kern w:val="0"/>
          <w:sz w:val="24"/>
          <w:u w:val="single"/>
        </w:rPr>
        <w:t>R</w:t>
      </w:r>
      <w:r>
        <w:rPr>
          <w:rFonts w:hint="eastAsia" w:ascii="微软雅黑" w:hAnsi="微软雅黑" w:eastAsia="微软雅黑" w:cs="微软雅黑"/>
          <w:color w:val="000000"/>
          <w:kern w:val="0"/>
          <w:sz w:val="24"/>
        </w:rPr>
        <w:t>，银行转账时备注中注明“</w:t>
      </w:r>
      <w:r>
        <w:rPr>
          <w:rFonts w:hint="eastAsia" w:ascii="微软雅黑" w:hAnsi="微软雅黑" w:eastAsia="微软雅黑" w:cs="微软雅黑"/>
          <w:color w:val="000000"/>
          <w:sz w:val="24"/>
        </w:rPr>
        <w:t>电子病历应用评级</w:t>
      </w:r>
      <w:r>
        <w:rPr>
          <w:rFonts w:hint="eastAsia" w:ascii="微软雅黑" w:hAnsi="微软雅黑" w:eastAsia="微软雅黑" w:cs="微软雅黑"/>
          <w:color w:val="000000"/>
          <w:kern w:val="0"/>
          <w:sz w:val="24"/>
        </w:rPr>
        <w:t>采购项目”保证金，现场带银行转帐回单等证明材料备查，否则投标无效。</w:t>
      </w:r>
    </w:p>
    <w:p>
      <w:pPr>
        <w:spacing w:line="360" w:lineRule="auto"/>
        <w:ind w:firstLine="371" w:firstLineChars="177"/>
        <w:rPr>
          <w:rFonts w:ascii="微软雅黑" w:hAnsi="微软雅黑" w:eastAsia="微软雅黑" w:cs="微软雅黑"/>
        </w:rPr>
      </w:pPr>
    </w:p>
    <w:p>
      <w:pPr>
        <w:pStyle w:val="11"/>
        <w:ind w:firstLine="0" w:firstLineChars="0"/>
        <w:rPr>
          <w:rFonts w:ascii="微软雅黑" w:hAnsi="微软雅黑" w:eastAsia="微软雅黑" w:cs="微软雅黑"/>
          <w:b/>
          <w:color w:val="000000"/>
          <w:sz w:val="24"/>
        </w:rPr>
      </w:pPr>
      <w:r>
        <w:rPr>
          <w:rFonts w:hint="eastAsia" w:ascii="微软雅黑" w:hAnsi="微软雅黑" w:eastAsia="微软雅黑" w:cs="微软雅黑"/>
          <w:b/>
          <w:color w:val="000000"/>
          <w:sz w:val="24"/>
        </w:rPr>
        <w:t>十一、电子病历应用评级相关服务要求</w:t>
      </w:r>
    </w:p>
    <w:p>
      <w:pPr>
        <w:widowControl/>
        <w:tabs>
          <w:tab w:val="left" w:pos="720"/>
        </w:tabs>
        <w:spacing w:line="360" w:lineRule="auto"/>
        <w:ind w:firstLine="360" w:firstLineChars="150"/>
        <w:jc w:val="left"/>
        <w:rPr>
          <w:rFonts w:ascii="微软雅黑" w:hAnsi="微软雅黑" w:eastAsia="微软雅黑" w:cs="微软雅黑"/>
          <w:color w:val="000000"/>
          <w:kern w:val="0"/>
          <w:sz w:val="24"/>
        </w:rPr>
      </w:pPr>
      <w:r>
        <w:rPr>
          <w:rFonts w:hint="eastAsia" w:ascii="微软雅黑" w:hAnsi="微软雅黑" w:eastAsia="微软雅黑" w:cs="微软雅黑"/>
          <w:b/>
          <w:color w:val="000000"/>
          <w:sz w:val="24"/>
        </w:rPr>
        <w:t>1</w:t>
      </w:r>
      <w:r>
        <w:rPr>
          <w:rFonts w:ascii="微软雅黑" w:hAnsi="微软雅黑" w:eastAsia="微软雅黑" w:cs="微软雅黑"/>
          <w:b/>
          <w:color w:val="000000"/>
          <w:sz w:val="24"/>
        </w:rPr>
        <w:t>1</w:t>
      </w:r>
      <w:r>
        <w:rPr>
          <w:rFonts w:hint="eastAsia" w:ascii="微软雅黑" w:hAnsi="微软雅黑" w:eastAsia="微软雅黑" w:cs="微软雅黑"/>
          <w:b/>
          <w:color w:val="000000"/>
          <w:sz w:val="24"/>
        </w:rPr>
        <w:t>.1、</w:t>
      </w:r>
      <w:r>
        <w:rPr>
          <w:rFonts w:hint="eastAsia" w:ascii="微软雅黑" w:hAnsi="微软雅黑" w:eastAsia="微软雅黑" w:cs="微软雅黑"/>
          <w:color w:val="000000"/>
          <w:kern w:val="0"/>
          <w:sz w:val="24"/>
        </w:rPr>
        <w:t>要求投标公司对标电子病历四级功能要求，针对我院当前信息化现状，以实现我院通过电子病历应用水平分级评价4级评审为目的，对医院信息系统进行整体的咨询和评估工作，包括但是不限于以下表格罗列的服务内容：</w:t>
      </w:r>
    </w:p>
    <w:p>
      <w:pPr>
        <w:widowControl/>
        <w:tabs>
          <w:tab w:val="left" w:pos="720"/>
        </w:tabs>
        <w:spacing w:line="360" w:lineRule="auto"/>
        <w:ind w:firstLine="360" w:firstLineChars="150"/>
        <w:jc w:val="left"/>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投标人投标时需提交服务内容偏离表一</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486"/>
        <w:gridCol w:w="496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766" w:type="dxa"/>
          </w:tcPr>
          <w:p>
            <w:pPr>
              <w:widowControl/>
              <w:tabs>
                <w:tab w:val="left" w:pos="720"/>
              </w:tabs>
              <w:spacing w:line="360" w:lineRule="auto"/>
              <w:jc w:val="cente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项目</w:t>
            </w:r>
          </w:p>
        </w:tc>
        <w:tc>
          <w:tcPr>
            <w:tcW w:w="1486" w:type="dxa"/>
          </w:tcPr>
          <w:p>
            <w:pPr>
              <w:widowControl/>
              <w:tabs>
                <w:tab w:val="left" w:pos="720"/>
              </w:tabs>
              <w:spacing w:line="360" w:lineRule="auto"/>
              <w:jc w:val="cente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服务内容</w:t>
            </w:r>
          </w:p>
        </w:tc>
        <w:tc>
          <w:tcPr>
            <w:tcW w:w="4965" w:type="dxa"/>
          </w:tcPr>
          <w:p>
            <w:pPr>
              <w:widowControl/>
              <w:tabs>
                <w:tab w:val="left" w:pos="720"/>
              </w:tabs>
              <w:spacing w:line="360" w:lineRule="auto"/>
              <w:jc w:val="cente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服务标准</w:t>
            </w:r>
          </w:p>
        </w:tc>
        <w:tc>
          <w:tcPr>
            <w:tcW w:w="1305" w:type="dxa"/>
          </w:tcPr>
          <w:p>
            <w:pPr>
              <w:widowControl/>
              <w:tabs>
                <w:tab w:val="left" w:pos="720"/>
              </w:tabs>
              <w:spacing w:line="360" w:lineRule="auto"/>
              <w:jc w:val="cente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766" w:type="dxa"/>
          </w:tcPr>
          <w:p>
            <w:pPr>
              <w:widowControl/>
              <w:tabs>
                <w:tab w:val="left" w:pos="720"/>
              </w:tabs>
              <w:spacing w:line="360" w:lineRule="auto"/>
              <w:jc w:val="cente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1</w:t>
            </w:r>
          </w:p>
        </w:tc>
        <w:tc>
          <w:tcPr>
            <w:tcW w:w="1486" w:type="dxa"/>
          </w:tcPr>
          <w:p>
            <w:pPr>
              <w:widowControl/>
              <w:tabs>
                <w:tab w:val="left" w:pos="720"/>
              </w:tabs>
              <w:spacing w:line="360" w:lineRule="auto"/>
              <w:jc w:val="cente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评估现状</w:t>
            </w:r>
          </w:p>
        </w:tc>
        <w:tc>
          <w:tcPr>
            <w:tcW w:w="4965" w:type="dxa"/>
          </w:tcPr>
          <w:p>
            <w:pPr>
              <w:outlineLvl w:val="2"/>
              <w:rPr>
                <w:rFonts w:ascii="Calibri" w:hAnsi="Calibri"/>
                <w:color w:val="000000"/>
                <w:sz w:val="28"/>
                <w:szCs w:val="28"/>
              </w:rPr>
            </w:pPr>
            <w:r>
              <w:rPr>
                <w:rFonts w:hint="eastAsia" w:ascii="Calibri" w:hAnsi="Calibri"/>
                <w:color w:val="000000"/>
                <w:sz w:val="28"/>
                <w:szCs w:val="28"/>
              </w:rPr>
              <w:t>1.1核对电子病历评级标准的条目</w:t>
            </w:r>
          </w:p>
          <w:p>
            <w:pPr>
              <w:adjustRightInd w:val="0"/>
              <w:snapToGrid w:val="0"/>
              <w:ind w:firstLine="420" w:firstLineChars="200"/>
              <w:rPr>
                <w:rFonts w:ascii="仿宋_GB2312"/>
                <w:color w:val="000000"/>
                <w:szCs w:val="21"/>
              </w:rPr>
            </w:pPr>
            <w:r>
              <w:rPr>
                <w:rFonts w:hint="eastAsia" w:ascii="仿宋_GB2312"/>
                <w:color w:val="000000"/>
                <w:szCs w:val="21"/>
              </w:rPr>
              <w:t>现场加线上会议的方式了解我院目前的信息化程度，与我院相应科室对接了解医院现有的科室数、病区数、床位数、信息科人数以及往年对软件与硬件的投入资金。评级小组根据《电子病历系统功能应用水平分级评价方法及标准2020修订版》的内容，与软件工程师对接及科室走访调研的形式了解四级评级中要求的各个基本项包括合理用药管理系统、临床知识库、护理病历、危急值管理平台、治疗科室工作站、手术麻醉信息系统、静脉药物配置系统、临床用血管理系统、血库管理系统、病历质控系统，PACS系统、LIS系统，选择项包括病案管理系统、医技检查预约系统、抗菌药物分级管理系统、重症监护系统、血液透析系统等系统模块的上线情况、使用情况、数据质量情况。着重调研未上线的系统、已上线未使用及数据质量不过关的原因。</w:t>
            </w:r>
          </w:p>
          <w:p>
            <w:pPr>
              <w:outlineLvl w:val="2"/>
              <w:rPr>
                <w:rFonts w:ascii="Calibri" w:hAnsi="Calibri"/>
                <w:color w:val="000000"/>
                <w:sz w:val="28"/>
                <w:szCs w:val="28"/>
              </w:rPr>
            </w:pPr>
            <w:r>
              <w:rPr>
                <w:rFonts w:hint="eastAsia" w:ascii="Calibri" w:hAnsi="Calibri"/>
                <w:color w:val="000000"/>
                <w:sz w:val="28"/>
                <w:szCs w:val="28"/>
              </w:rPr>
              <w:t>1.2查验机房</w:t>
            </w:r>
          </w:p>
          <w:p>
            <w:pPr>
              <w:adjustRightInd w:val="0"/>
              <w:snapToGrid w:val="0"/>
              <w:ind w:firstLine="420" w:firstLineChars="200"/>
              <w:rPr>
                <w:rFonts w:ascii="仿宋_GB2312"/>
                <w:color w:val="000000"/>
                <w:szCs w:val="21"/>
              </w:rPr>
            </w:pPr>
            <w:r>
              <w:rPr>
                <w:rFonts w:hint="eastAsia" w:ascii="仿宋_GB2312"/>
                <w:color w:val="000000"/>
                <w:szCs w:val="21"/>
              </w:rPr>
              <w:t>评级小组与医院硬件负责人现场查验医院机房环境，对医院硬件、网络、容灾进行评估。如果是网络评估，评级小组提供机房与容灾的参考资料，项目组及医院工程师参考资料进行评估。</w:t>
            </w:r>
          </w:p>
          <w:p>
            <w:pPr>
              <w:outlineLvl w:val="2"/>
              <w:rPr>
                <w:rFonts w:ascii="Calibri" w:hAnsi="Calibri"/>
                <w:color w:val="000000"/>
                <w:sz w:val="28"/>
                <w:szCs w:val="28"/>
              </w:rPr>
            </w:pPr>
            <w:r>
              <w:rPr>
                <w:rFonts w:hint="eastAsia" w:ascii="Calibri" w:hAnsi="Calibri"/>
                <w:color w:val="000000"/>
                <w:sz w:val="28"/>
                <w:szCs w:val="28"/>
              </w:rPr>
              <w:t>1.3电子病历评级评估情况汇报</w:t>
            </w:r>
          </w:p>
          <w:p>
            <w:pPr>
              <w:adjustRightInd w:val="0"/>
              <w:snapToGrid w:val="0"/>
              <w:ind w:firstLine="420" w:firstLineChars="200"/>
              <w:rPr>
                <w:rFonts w:ascii="仿宋_GB2312"/>
                <w:color w:val="000000"/>
                <w:szCs w:val="21"/>
              </w:rPr>
            </w:pPr>
            <w:r>
              <w:rPr>
                <w:rFonts w:hint="eastAsia" w:ascii="仿宋_GB2312"/>
                <w:color w:val="000000"/>
                <w:szCs w:val="21"/>
              </w:rPr>
              <w:t>评估完毕后，书写电子病历评级评估情况汇报ppt。并向医院汇报本次评估的结果及下步大致的改进计划，汇报时要求医院主管信息的院长、医院电子病历相关部门负责人参加。如果是网络评估，由区域电子病历评级专员或项目经理进行汇报。</w:t>
            </w:r>
          </w:p>
          <w:p>
            <w:pPr>
              <w:outlineLvl w:val="2"/>
              <w:rPr>
                <w:rFonts w:ascii="Calibri" w:hAnsi="Calibri"/>
                <w:color w:val="000000"/>
                <w:sz w:val="28"/>
                <w:szCs w:val="28"/>
              </w:rPr>
            </w:pPr>
            <w:r>
              <w:rPr>
                <w:rFonts w:hint="eastAsia" w:ascii="Calibri" w:hAnsi="Calibri"/>
                <w:color w:val="000000"/>
                <w:sz w:val="28"/>
                <w:szCs w:val="28"/>
              </w:rPr>
              <w:t>1.4报名前评估</w:t>
            </w:r>
          </w:p>
          <w:p>
            <w:pPr>
              <w:adjustRightInd w:val="0"/>
              <w:snapToGrid w:val="0"/>
              <w:ind w:firstLine="420" w:firstLineChars="200"/>
              <w:rPr>
                <w:rFonts w:ascii="仿宋_GB2312"/>
                <w:color w:val="000000"/>
                <w:szCs w:val="21"/>
              </w:rPr>
            </w:pPr>
            <w:r>
              <w:rPr>
                <w:rFonts w:hint="eastAsia" w:ascii="仿宋_GB2312"/>
                <w:color w:val="000000"/>
                <w:szCs w:val="21"/>
              </w:rPr>
              <w:t>在医院正式报名前，协助医院再进行一次评估，评估前医院需要提供实证材料截图、数据查询SQL文档，由评级小组网上进行评估，以确保改进后的内容能达到参评级别的要求。</w:t>
            </w:r>
          </w:p>
          <w:p>
            <w:pPr>
              <w:widowControl/>
              <w:tabs>
                <w:tab w:val="left" w:pos="720"/>
              </w:tabs>
              <w:spacing w:line="360" w:lineRule="auto"/>
              <w:jc w:val="center"/>
              <w:rPr>
                <w:rFonts w:ascii="微软雅黑" w:hAnsi="微软雅黑" w:eastAsia="微软雅黑" w:cs="微软雅黑"/>
                <w:color w:val="000000"/>
                <w:kern w:val="0"/>
                <w:sz w:val="24"/>
              </w:rPr>
            </w:pPr>
          </w:p>
        </w:tc>
        <w:tc>
          <w:tcPr>
            <w:tcW w:w="1305" w:type="dxa"/>
          </w:tcPr>
          <w:p>
            <w:pPr>
              <w:widowControl/>
              <w:tabs>
                <w:tab w:val="left" w:pos="720"/>
              </w:tabs>
              <w:spacing w:line="360" w:lineRule="auto"/>
              <w:jc w:val="center"/>
              <w:rPr>
                <w:rFonts w:ascii="微软雅黑" w:hAnsi="微软雅黑" w:eastAsia="微软雅黑" w:cs="微软雅黑"/>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766" w:type="dxa"/>
          </w:tcPr>
          <w:p>
            <w:pPr>
              <w:widowControl/>
              <w:tabs>
                <w:tab w:val="left" w:pos="720"/>
              </w:tabs>
              <w:spacing w:line="360" w:lineRule="auto"/>
              <w:jc w:val="cente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2</w:t>
            </w:r>
          </w:p>
        </w:tc>
        <w:tc>
          <w:tcPr>
            <w:tcW w:w="1486" w:type="dxa"/>
          </w:tcPr>
          <w:p>
            <w:pPr>
              <w:widowControl/>
              <w:tabs>
                <w:tab w:val="left" w:pos="720"/>
              </w:tabs>
              <w:spacing w:line="360" w:lineRule="auto"/>
              <w:jc w:val="cente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政策解读</w:t>
            </w:r>
          </w:p>
        </w:tc>
        <w:tc>
          <w:tcPr>
            <w:tcW w:w="4965" w:type="dxa"/>
          </w:tcPr>
          <w:p>
            <w:pPr>
              <w:jc w:val="center"/>
              <w:rPr>
                <w:rFonts w:ascii="仿宋_GB2312"/>
                <w:color w:val="000000"/>
                <w:sz w:val="20"/>
                <w:szCs w:val="21"/>
              </w:rPr>
            </w:pPr>
            <w:r>
              <w:rPr>
                <w:rFonts w:hint="eastAsia"/>
                <w:b/>
                <w:color w:val="000000"/>
                <w:sz w:val="32"/>
                <w:szCs w:val="32"/>
              </w:rPr>
              <w:t>电子病历分级评级</w:t>
            </w:r>
            <w:r>
              <w:rPr>
                <w:rFonts w:hint="eastAsia"/>
                <w:b/>
                <w:color w:val="000000"/>
                <w:sz w:val="28"/>
                <w:szCs w:val="32"/>
              </w:rPr>
              <w:t>（本次服务标准参照四级）</w:t>
            </w:r>
          </w:p>
          <w:p>
            <w:pPr>
              <w:adjustRightInd w:val="0"/>
              <w:snapToGrid w:val="0"/>
              <w:ind w:firstLine="420" w:firstLineChars="200"/>
              <w:rPr>
                <w:rFonts w:ascii="仿宋_GB2312"/>
                <w:color w:val="000000"/>
                <w:szCs w:val="21"/>
              </w:rPr>
            </w:pPr>
            <w:r>
              <w:rPr>
                <w:rFonts w:hint="eastAsia" w:ascii="仿宋_GB2312"/>
                <w:color w:val="000000"/>
                <w:szCs w:val="21"/>
              </w:rPr>
              <w:t>以电子病历为核心的医院信息化建设是医改重要内容之一，为保证我国以电子病历为核心的医院信息化建设工作顺利开展，逐步建立适合我国国情的电子病历系统应用水平评估和持续改进体系，制定本评价标准。</w:t>
            </w:r>
          </w:p>
          <w:p>
            <w:pPr>
              <w:adjustRightInd w:val="0"/>
              <w:snapToGrid w:val="0"/>
              <w:ind w:firstLine="420" w:firstLineChars="200"/>
              <w:outlineLvl w:val="0"/>
              <w:rPr>
                <w:rFonts w:ascii="黑体" w:eastAsia="黑体"/>
                <w:color w:val="000000"/>
                <w:szCs w:val="21"/>
              </w:rPr>
            </w:pPr>
            <w:r>
              <w:rPr>
                <w:rFonts w:hint="eastAsia" w:ascii="黑体" w:eastAsia="黑体"/>
                <w:color w:val="000000"/>
                <w:szCs w:val="21"/>
              </w:rPr>
              <w:t>一、评价目的</w:t>
            </w:r>
          </w:p>
          <w:p>
            <w:pPr>
              <w:adjustRightInd w:val="0"/>
              <w:snapToGrid w:val="0"/>
              <w:ind w:firstLine="420" w:firstLineChars="200"/>
              <w:rPr>
                <w:rFonts w:ascii="仿宋_GB2312"/>
                <w:color w:val="000000"/>
                <w:szCs w:val="21"/>
              </w:rPr>
            </w:pPr>
            <w:r>
              <w:rPr>
                <w:rFonts w:hint="eastAsia" w:ascii="仿宋_GB2312"/>
                <w:color w:val="000000"/>
                <w:szCs w:val="21"/>
              </w:rPr>
              <w:t>（一）全面评估各医疗机构现阶段电子病历系统应用所达到的水平，建立适合我国国情的电子病历系统应用水平评估和持续改进体系。</w:t>
            </w:r>
          </w:p>
          <w:p>
            <w:pPr>
              <w:adjustRightInd w:val="0"/>
              <w:snapToGrid w:val="0"/>
              <w:ind w:firstLine="420" w:firstLineChars="200"/>
              <w:rPr>
                <w:rFonts w:ascii="仿宋_GB2312"/>
                <w:color w:val="000000"/>
                <w:szCs w:val="21"/>
              </w:rPr>
            </w:pPr>
            <w:r>
              <w:rPr>
                <w:rFonts w:hint="eastAsia" w:ascii="仿宋_GB2312"/>
                <w:color w:val="000000"/>
                <w:szCs w:val="21"/>
              </w:rPr>
              <w:t>（二）使医疗机构明确电子病历系统各发展阶段应当实现的功能。为各医疗机构提供电子病历系统建设的发展指南，指导医疗机构科学、合理、有序地发展电子病历系统。</w:t>
            </w:r>
          </w:p>
          <w:p>
            <w:pPr>
              <w:adjustRightInd w:val="0"/>
              <w:snapToGrid w:val="0"/>
              <w:ind w:firstLine="420" w:firstLineChars="200"/>
              <w:rPr>
                <w:rFonts w:ascii="仿宋_GB2312"/>
                <w:color w:val="000000"/>
                <w:szCs w:val="21"/>
              </w:rPr>
            </w:pPr>
            <w:r>
              <w:rPr>
                <w:rFonts w:hint="eastAsia" w:ascii="仿宋_GB2312"/>
                <w:color w:val="000000"/>
                <w:szCs w:val="21"/>
              </w:rPr>
              <w:t>（三）引导电子病历系统开发厂商的系统开发朝着功能实用、信息共享、更趋智能化方向发展，使之成为医院提升医疗质量与安全的有力工具。</w:t>
            </w:r>
          </w:p>
          <w:p>
            <w:pPr>
              <w:adjustRightInd w:val="0"/>
              <w:snapToGrid w:val="0"/>
              <w:ind w:firstLine="420" w:firstLineChars="200"/>
              <w:outlineLvl w:val="0"/>
              <w:rPr>
                <w:rFonts w:ascii="黑体" w:eastAsia="黑体"/>
                <w:color w:val="000000"/>
                <w:szCs w:val="21"/>
              </w:rPr>
            </w:pPr>
            <w:r>
              <w:rPr>
                <w:rFonts w:hint="eastAsia" w:ascii="黑体" w:eastAsia="黑体"/>
                <w:color w:val="000000"/>
                <w:szCs w:val="21"/>
              </w:rPr>
              <w:t>二、评价对象</w:t>
            </w:r>
          </w:p>
          <w:p>
            <w:pPr>
              <w:adjustRightInd w:val="0"/>
              <w:snapToGrid w:val="0"/>
              <w:ind w:firstLine="420" w:firstLineChars="200"/>
              <w:rPr>
                <w:rFonts w:ascii="仿宋_GB2312"/>
                <w:color w:val="000000"/>
                <w:szCs w:val="21"/>
              </w:rPr>
            </w:pPr>
            <w:r>
              <w:rPr>
                <w:rFonts w:hint="eastAsia" w:ascii="仿宋_GB2312"/>
                <w:color w:val="000000"/>
                <w:szCs w:val="21"/>
              </w:rPr>
              <w:t>已实施以电子病历为核心医院信息化建设的各级各类医疗机构。</w:t>
            </w:r>
          </w:p>
          <w:p>
            <w:pPr>
              <w:adjustRightInd w:val="0"/>
              <w:snapToGrid w:val="0"/>
              <w:ind w:firstLine="420" w:firstLineChars="200"/>
              <w:outlineLvl w:val="0"/>
              <w:rPr>
                <w:rFonts w:ascii="黑体" w:eastAsia="黑体"/>
                <w:color w:val="000000"/>
                <w:szCs w:val="21"/>
              </w:rPr>
            </w:pPr>
            <w:r>
              <w:rPr>
                <w:rFonts w:hint="eastAsia" w:ascii="黑体" w:eastAsia="黑体"/>
                <w:color w:val="000000"/>
                <w:szCs w:val="21"/>
              </w:rPr>
              <w:t>三、评价分级</w:t>
            </w:r>
          </w:p>
          <w:p>
            <w:pPr>
              <w:adjustRightInd w:val="0"/>
              <w:snapToGrid w:val="0"/>
              <w:ind w:firstLine="420" w:firstLineChars="200"/>
              <w:rPr>
                <w:rFonts w:ascii="仿宋_GB2312"/>
                <w:color w:val="000000"/>
                <w:szCs w:val="21"/>
              </w:rPr>
            </w:pPr>
            <w:r>
              <w:rPr>
                <w:rFonts w:hint="eastAsia" w:ascii="仿宋_GB2312"/>
                <w:color w:val="000000"/>
                <w:szCs w:val="21"/>
              </w:rPr>
              <w:t>电子病历系统应用水平划分为9个等级。每一等级的标准包括电子病历各个局部系统的要求和对医疗机构整体电子病历系统的要求。</w:t>
            </w:r>
          </w:p>
          <w:p>
            <w:pPr>
              <w:adjustRightInd w:val="0"/>
              <w:snapToGrid w:val="0"/>
              <w:ind w:firstLine="422" w:firstLineChars="200"/>
              <w:outlineLvl w:val="1"/>
              <w:rPr>
                <w:rFonts w:ascii="楷体_GB2312" w:eastAsia="楷体_GB2312"/>
                <w:b/>
                <w:color w:val="000000"/>
                <w:szCs w:val="21"/>
              </w:rPr>
            </w:pPr>
            <w:r>
              <w:rPr>
                <w:rFonts w:hint="eastAsia" w:ascii="楷体_GB2312" w:eastAsia="楷体_GB2312"/>
                <w:b/>
                <w:color w:val="000000"/>
                <w:szCs w:val="21"/>
              </w:rPr>
              <w:t>（一）0级：未形成电子病历系统。</w:t>
            </w:r>
          </w:p>
          <w:p>
            <w:pPr>
              <w:adjustRightInd w:val="0"/>
              <w:snapToGrid w:val="0"/>
              <w:ind w:firstLine="420" w:firstLineChars="200"/>
              <w:rPr>
                <w:rFonts w:ascii="仿宋_GB2312"/>
                <w:color w:val="000000"/>
                <w:szCs w:val="21"/>
              </w:rPr>
            </w:pPr>
            <w:r>
              <w:rPr>
                <w:rFonts w:hint="eastAsia" w:ascii="仿宋_GB2312"/>
                <w:color w:val="000000"/>
                <w:szCs w:val="21"/>
              </w:rPr>
              <w:t>1.局部要求：无。医疗过程中的信息由手工处理，未使用计算机系统。</w:t>
            </w:r>
          </w:p>
          <w:p>
            <w:pPr>
              <w:adjustRightInd w:val="0"/>
              <w:snapToGrid w:val="0"/>
              <w:ind w:firstLine="420" w:firstLineChars="200"/>
              <w:rPr>
                <w:rFonts w:ascii="仿宋_GB2312"/>
                <w:color w:val="000000"/>
                <w:szCs w:val="21"/>
              </w:rPr>
            </w:pPr>
            <w:r>
              <w:rPr>
                <w:rFonts w:hint="eastAsia" w:ascii="仿宋_GB2312"/>
                <w:color w:val="000000"/>
                <w:szCs w:val="21"/>
              </w:rPr>
              <w:t>2.整体要求：全院范围内使用计算机系统进行信息处理的业务少于3个。</w:t>
            </w:r>
          </w:p>
          <w:p>
            <w:pPr>
              <w:adjustRightInd w:val="0"/>
              <w:snapToGrid w:val="0"/>
              <w:ind w:firstLine="422" w:firstLineChars="200"/>
              <w:outlineLvl w:val="1"/>
              <w:rPr>
                <w:rFonts w:ascii="楷体_GB2312" w:eastAsia="楷体_GB2312"/>
                <w:b/>
                <w:color w:val="000000"/>
                <w:szCs w:val="21"/>
              </w:rPr>
            </w:pPr>
            <w:r>
              <w:rPr>
                <w:rFonts w:hint="eastAsia" w:ascii="楷体_GB2312" w:eastAsia="楷体_GB2312"/>
                <w:b/>
                <w:color w:val="000000"/>
                <w:szCs w:val="21"/>
              </w:rPr>
              <w:t>（二）1级：独立医疗信息系统建立。</w:t>
            </w:r>
          </w:p>
          <w:p>
            <w:pPr>
              <w:adjustRightInd w:val="0"/>
              <w:snapToGrid w:val="0"/>
              <w:ind w:firstLine="420" w:firstLineChars="200"/>
              <w:rPr>
                <w:rFonts w:ascii="仿宋_GB2312"/>
                <w:color w:val="000000"/>
                <w:szCs w:val="21"/>
              </w:rPr>
            </w:pPr>
            <w:r>
              <w:rPr>
                <w:rFonts w:hint="eastAsia" w:ascii="仿宋_GB2312"/>
                <w:color w:val="000000"/>
                <w:szCs w:val="21"/>
              </w:rPr>
              <w:t>1.局部要求：使用计算机系统处理医疗业务数据，所使用的软件系统可以是通用或专用软件，可以是单机版独立运行的系统。</w:t>
            </w:r>
          </w:p>
          <w:p>
            <w:pPr>
              <w:adjustRightInd w:val="0"/>
              <w:snapToGrid w:val="0"/>
              <w:ind w:firstLine="420" w:firstLineChars="200"/>
              <w:rPr>
                <w:rFonts w:ascii="仿宋_GB2312"/>
                <w:color w:val="000000"/>
                <w:szCs w:val="21"/>
              </w:rPr>
            </w:pPr>
            <w:r>
              <w:rPr>
                <w:rFonts w:hint="eastAsia" w:ascii="仿宋_GB2312"/>
                <w:color w:val="000000"/>
                <w:szCs w:val="21"/>
              </w:rPr>
              <w:t>2.整体要求：住院医嘱、检查、住院药品的信息处理使用计算机系统，并能够通过移动存储设备、复制文件等方式将数据导出供后续应用处理。</w:t>
            </w:r>
          </w:p>
          <w:p>
            <w:pPr>
              <w:adjustRightInd w:val="0"/>
              <w:snapToGrid w:val="0"/>
              <w:ind w:firstLine="422" w:firstLineChars="200"/>
              <w:outlineLvl w:val="1"/>
              <w:rPr>
                <w:rFonts w:ascii="楷体_GB2312" w:eastAsia="楷体_GB2312"/>
                <w:b/>
                <w:color w:val="000000"/>
                <w:szCs w:val="21"/>
              </w:rPr>
            </w:pPr>
            <w:r>
              <w:rPr>
                <w:rFonts w:hint="eastAsia" w:ascii="楷体_GB2312" w:eastAsia="楷体_GB2312"/>
                <w:b/>
                <w:color w:val="000000"/>
                <w:szCs w:val="21"/>
              </w:rPr>
              <w:t>（三）2级：医疗信息部门内部交换。</w:t>
            </w:r>
          </w:p>
          <w:p>
            <w:pPr>
              <w:ind w:firstLine="420" w:firstLineChars="200"/>
              <w:rPr>
                <w:rFonts w:ascii="仿宋_GB2312"/>
                <w:color w:val="000000"/>
                <w:szCs w:val="21"/>
              </w:rPr>
            </w:pPr>
            <w:r>
              <w:rPr>
                <w:rFonts w:hint="eastAsia" w:ascii="仿宋_GB2312"/>
                <w:color w:val="000000"/>
                <w:szCs w:val="21"/>
              </w:rPr>
              <w:t>1.局部要求：在医疗业务部门建立了内部共享的信息处理系统，业务信息可以通过网络在部门内部共享并进行处理。</w:t>
            </w:r>
          </w:p>
          <w:p>
            <w:pPr>
              <w:ind w:firstLine="420" w:firstLineChars="200"/>
              <w:rPr>
                <w:rFonts w:ascii="仿宋_GB2312"/>
                <w:color w:val="000000"/>
                <w:szCs w:val="21"/>
              </w:rPr>
            </w:pPr>
            <w:r>
              <w:rPr>
                <w:rFonts w:hint="eastAsia" w:ascii="仿宋_GB2312"/>
                <w:color w:val="000000"/>
                <w:szCs w:val="21"/>
              </w:rPr>
              <w:t>2.整体要求：</w:t>
            </w:r>
          </w:p>
          <w:p>
            <w:pPr>
              <w:ind w:firstLine="420" w:firstLineChars="200"/>
              <w:rPr>
                <w:rFonts w:ascii="仿宋_GB2312"/>
                <w:color w:val="000000"/>
                <w:szCs w:val="21"/>
              </w:rPr>
            </w:pPr>
            <w:r>
              <w:rPr>
                <w:rFonts w:hint="eastAsia" w:ascii="仿宋_GB2312"/>
                <w:color w:val="000000"/>
                <w:szCs w:val="21"/>
              </w:rPr>
              <w:t>（1）住院、检查、检验、住院药品等至少3个以上部门的医疗信息能够通过联网的计算机完成本级局部要求的信息处理功能，但各部门之间未形成数据交换系统，或者部门间数据交换需要手工操作。</w:t>
            </w:r>
          </w:p>
          <w:p>
            <w:pPr>
              <w:ind w:firstLine="420" w:firstLineChars="200"/>
              <w:rPr>
                <w:rFonts w:ascii="仿宋_GB2312"/>
                <w:color w:val="000000"/>
                <w:szCs w:val="21"/>
              </w:rPr>
            </w:pPr>
            <w:r>
              <w:rPr>
                <w:rFonts w:hint="eastAsia" w:ascii="仿宋_GB2312"/>
                <w:color w:val="000000"/>
                <w:szCs w:val="21"/>
              </w:rPr>
              <w:t>（2）部门内有统一的医疗数据字典。</w:t>
            </w:r>
          </w:p>
          <w:p>
            <w:pPr>
              <w:adjustRightInd w:val="0"/>
              <w:snapToGrid w:val="0"/>
              <w:ind w:firstLine="422" w:firstLineChars="200"/>
              <w:outlineLvl w:val="1"/>
              <w:rPr>
                <w:rFonts w:ascii="楷体_GB2312" w:eastAsia="楷体_GB2312"/>
                <w:b/>
                <w:color w:val="000000"/>
                <w:szCs w:val="21"/>
              </w:rPr>
            </w:pPr>
            <w:r>
              <w:rPr>
                <w:rFonts w:hint="eastAsia" w:ascii="楷体_GB2312" w:eastAsia="楷体_GB2312"/>
                <w:b/>
                <w:color w:val="000000"/>
                <w:szCs w:val="21"/>
              </w:rPr>
              <w:t>（四）3级：部门间数据交换。</w:t>
            </w:r>
          </w:p>
          <w:p>
            <w:pPr>
              <w:ind w:firstLine="420" w:firstLineChars="200"/>
              <w:rPr>
                <w:rFonts w:ascii="仿宋_GB2312"/>
                <w:color w:val="000000"/>
                <w:szCs w:val="21"/>
              </w:rPr>
            </w:pPr>
            <w:r>
              <w:rPr>
                <w:rFonts w:hint="eastAsia" w:ascii="仿宋_GB2312"/>
                <w:color w:val="000000"/>
                <w:szCs w:val="21"/>
              </w:rPr>
              <w:t>1.局部要求：医疗业务部门间可通过网络传送数据，并采用任何方式（如界面集成、调用信息系统数据等）获得部门外数字化数据信息。本部门系统的数据可供其他部门共享。信息系统具有依据基础字典内容进行核对检查功能。</w:t>
            </w:r>
          </w:p>
          <w:p>
            <w:pPr>
              <w:adjustRightInd w:val="0"/>
              <w:snapToGrid w:val="0"/>
              <w:ind w:firstLine="420" w:firstLineChars="200"/>
              <w:rPr>
                <w:rFonts w:ascii="仿宋_GB2312"/>
                <w:color w:val="000000"/>
                <w:szCs w:val="21"/>
              </w:rPr>
            </w:pPr>
            <w:r>
              <w:rPr>
                <w:rFonts w:hint="eastAsia" w:ascii="仿宋_GB2312"/>
                <w:color w:val="000000"/>
                <w:szCs w:val="21"/>
              </w:rPr>
              <w:t>2.整体要求：</w:t>
            </w:r>
          </w:p>
          <w:p>
            <w:pPr>
              <w:adjustRightInd w:val="0"/>
              <w:snapToGrid w:val="0"/>
              <w:ind w:firstLine="420" w:firstLineChars="200"/>
              <w:rPr>
                <w:rFonts w:ascii="仿宋_GB2312"/>
                <w:color w:val="000000"/>
                <w:szCs w:val="21"/>
              </w:rPr>
            </w:pPr>
            <w:r>
              <w:rPr>
                <w:rFonts w:hint="eastAsia" w:ascii="仿宋_GB2312"/>
                <w:color w:val="000000"/>
                <w:szCs w:val="21"/>
              </w:rPr>
              <w:t>（1）实现医嘱、检查、检验、住院药品、门诊药品、护理至少两类医疗信息跨部门的数据共享。</w:t>
            </w:r>
          </w:p>
          <w:p>
            <w:pPr>
              <w:adjustRightInd w:val="0"/>
              <w:snapToGrid w:val="0"/>
              <w:ind w:firstLine="420" w:firstLineChars="200"/>
              <w:rPr>
                <w:rFonts w:ascii="仿宋_GB2312"/>
                <w:color w:val="000000"/>
                <w:szCs w:val="21"/>
              </w:rPr>
            </w:pPr>
            <w:r>
              <w:rPr>
                <w:rFonts w:hint="eastAsia" w:ascii="仿宋_GB2312"/>
                <w:color w:val="000000"/>
                <w:szCs w:val="21"/>
              </w:rPr>
              <w:t>（2）有跨部门统一的医疗数据字典。</w:t>
            </w:r>
          </w:p>
          <w:p>
            <w:pPr>
              <w:adjustRightInd w:val="0"/>
              <w:snapToGrid w:val="0"/>
              <w:ind w:firstLine="422" w:firstLineChars="200"/>
              <w:outlineLvl w:val="1"/>
              <w:rPr>
                <w:rFonts w:ascii="楷体_GB2312" w:eastAsia="楷体_GB2312"/>
                <w:b/>
                <w:color w:val="000000"/>
                <w:szCs w:val="21"/>
              </w:rPr>
            </w:pPr>
            <w:r>
              <w:rPr>
                <w:rFonts w:hint="eastAsia" w:ascii="楷体_GB2312" w:eastAsia="楷体_GB2312"/>
                <w:b/>
                <w:color w:val="000000"/>
                <w:szCs w:val="21"/>
              </w:rPr>
              <w:t>（五）4级：全院信息共享，初级医疗决策支持。</w:t>
            </w:r>
          </w:p>
          <w:p>
            <w:pPr>
              <w:ind w:firstLine="420" w:firstLineChars="200"/>
              <w:rPr>
                <w:rFonts w:ascii="仿宋_GB2312"/>
                <w:color w:val="000000"/>
                <w:szCs w:val="21"/>
              </w:rPr>
            </w:pPr>
            <w:r>
              <w:rPr>
                <w:rFonts w:hint="eastAsia" w:ascii="仿宋_GB2312"/>
                <w:color w:val="000000"/>
                <w:szCs w:val="21"/>
              </w:rPr>
              <w:t>1.局部要求：通过数据接口方式实现所有系统（如HIS、LIS等系统）的数据交换。住院系统具备提供至少1项基于基础字典与系统数据关联的检查功能。</w:t>
            </w:r>
          </w:p>
          <w:p>
            <w:pPr>
              <w:ind w:firstLine="420" w:firstLineChars="200"/>
              <w:rPr>
                <w:rFonts w:ascii="仿宋_GB2312"/>
                <w:color w:val="000000"/>
                <w:szCs w:val="21"/>
              </w:rPr>
            </w:pPr>
            <w:r>
              <w:rPr>
                <w:rFonts w:hint="eastAsia" w:ascii="仿宋_GB2312"/>
                <w:color w:val="000000"/>
                <w:szCs w:val="21"/>
              </w:rPr>
              <w:t>2.整体要求：</w:t>
            </w:r>
          </w:p>
          <w:p>
            <w:pPr>
              <w:ind w:firstLine="420" w:firstLineChars="200"/>
              <w:rPr>
                <w:rFonts w:ascii="仿宋_GB2312"/>
                <w:color w:val="000000"/>
                <w:szCs w:val="21"/>
              </w:rPr>
            </w:pPr>
            <w:r>
              <w:rPr>
                <w:rFonts w:hint="eastAsia" w:ascii="仿宋_GB2312"/>
                <w:color w:val="000000"/>
                <w:szCs w:val="21"/>
              </w:rPr>
              <w:t>（1）实现病人就医流程信息（包括用药、检查、检验、护理、治疗、手术等处理）的信息在全院范围内安全共享。</w:t>
            </w:r>
          </w:p>
          <w:p>
            <w:pPr>
              <w:ind w:firstLine="420" w:firstLineChars="200"/>
              <w:rPr>
                <w:rFonts w:ascii="仿宋_GB2312"/>
                <w:color w:val="000000"/>
                <w:szCs w:val="21"/>
              </w:rPr>
            </w:pPr>
            <w:r>
              <w:rPr>
                <w:rFonts w:hint="eastAsia" w:ascii="仿宋_GB2312"/>
                <w:color w:val="000000"/>
                <w:szCs w:val="21"/>
              </w:rPr>
              <w:t>（2）实现药品配伍、相互作用自动审核，合理用药监测等功能。</w:t>
            </w:r>
          </w:p>
          <w:p>
            <w:pPr>
              <w:adjustRightInd w:val="0"/>
              <w:snapToGrid w:val="0"/>
              <w:ind w:firstLine="420" w:firstLineChars="200"/>
              <w:outlineLvl w:val="0"/>
              <w:rPr>
                <w:rFonts w:ascii="黑体" w:eastAsia="黑体"/>
                <w:color w:val="000000"/>
                <w:szCs w:val="21"/>
              </w:rPr>
            </w:pPr>
            <w:r>
              <w:rPr>
                <w:rFonts w:hint="eastAsia" w:ascii="黑体" w:eastAsia="黑体"/>
                <w:color w:val="000000"/>
                <w:szCs w:val="21"/>
              </w:rPr>
              <w:t>四、评价方法</w:t>
            </w:r>
          </w:p>
          <w:p>
            <w:pPr>
              <w:adjustRightInd w:val="0"/>
              <w:snapToGrid w:val="0"/>
              <w:ind w:firstLine="420" w:firstLineChars="200"/>
              <w:rPr>
                <w:rFonts w:ascii="仿宋_GB2312"/>
                <w:color w:val="000000"/>
                <w:szCs w:val="21"/>
              </w:rPr>
            </w:pPr>
            <w:r>
              <w:rPr>
                <w:rFonts w:hint="eastAsia" w:ascii="仿宋_GB2312"/>
                <w:color w:val="000000"/>
                <w:szCs w:val="21"/>
              </w:rPr>
              <w:t>采用定量评分、整体分级的方法，综合评价医疗机构电子病历系统局部功能情况与整体应用水平。</w:t>
            </w:r>
          </w:p>
          <w:p>
            <w:pPr>
              <w:adjustRightInd w:val="0"/>
              <w:snapToGrid w:val="0"/>
              <w:ind w:firstLine="420" w:firstLineChars="200"/>
              <w:rPr>
                <w:rFonts w:ascii="仿宋_GB2312"/>
                <w:szCs w:val="21"/>
              </w:rPr>
            </w:pPr>
            <w:r>
              <w:rPr>
                <w:rFonts w:hint="eastAsia" w:ascii="仿宋_GB2312"/>
                <w:szCs w:val="21"/>
              </w:rPr>
              <w:t>对电子病历系统应用水平分级主要评价以下四个方面：</w:t>
            </w:r>
          </w:p>
          <w:p>
            <w:pPr>
              <w:adjustRightInd w:val="0"/>
              <w:snapToGrid w:val="0"/>
              <w:ind w:firstLine="420" w:firstLineChars="200"/>
              <w:rPr>
                <w:rFonts w:ascii="仿宋_GB2312"/>
                <w:szCs w:val="21"/>
              </w:rPr>
            </w:pPr>
            <w:r>
              <w:rPr>
                <w:rFonts w:hint="eastAsia" w:ascii="仿宋_GB2312"/>
                <w:szCs w:val="21"/>
              </w:rPr>
              <w:t>1.电子病历系统所具备的功能；</w:t>
            </w:r>
          </w:p>
          <w:p>
            <w:pPr>
              <w:adjustRightInd w:val="0"/>
              <w:snapToGrid w:val="0"/>
              <w:ind w:firstLine="420" w:firstLineChars="200"/>
              <w:rPr>
                <w:rFonts w:ascii="仿宋_GB2312"/>
                <w:szCs w:val="21"/>
              </w:rPr>
            </w:pPr>
            <w:r>
              <w:rPr>
                <w:rFonts w:hint="eastAsia" w:ascii="仿宋_GB2312"/>
                <w:szCs w:val="21"/>
              </w:rPr>
              <w:t>2.系统有效应用的范围；</w:t>
            </w:r>
          </w:p>
          <w:p>
            <w:pPr>
              <w:adjustRightInd w:val="0"/>
              <w:snapToGrid w:val="0"/>
              <w:ind w:firstLine="420" w:firstLineChars="200"/>
              <w:rPr>
                <w:rFonts w:ascii="仿宋_GB2312"/>
                <w:szCs w:val="21"/>
              </w:rPr>
            </w:pPr>
            <w:r>
              <w:rPr>
                <w:rFonts w:hint="eastAsia" w:ascii="仿宋_GB2312"/>
                <w:szCs w:val="21"/>
              </w:rPr>
              <w:t>3.电子病历应用的技术基础环境；</w:t>
            </w:r>
          </w:p>
          <w:p>
            <w:pPr>
              <w:adjustRightInd w:val="0"/>
              <w:snapToGrid w:val="0"/>
              <w:ind w:firstLine="420" w:firstLineChars="200"/>
              <w:rPr>
                <w:rFonts w:ascii="仿宋_GB2312"/>
                <w:szCs w:val="21"/>
              </w:rPr>
            </w:pPr>
            <w:r>
              <w:rPr>
                <w:rFonts w:hint="eastAsia" w:ascii="仿宋_GB2312"/>
                <w:szCs w:val="21"/>
              </w:rPr>
              <w:t>4.电子病历系统的数据质量。</w:t>
            </w:r>
          </w:p>
          <w:p>
            <w:pPr>
              <w:adjustRightInd w:val="0"/>
              <w:snapToGrid w:val="0"/>
              <w:ind w:firstLine="422" w:firstLineChars="200"/>
              <w:outlineLvl w:val="1"/>
              <w:rPr>
                <w:rFonts w:ascii="楷体_GB2312" w:eastAsia="楷体_GB2312"/>
                <w:b/>
                <w:szCs w:val="21"/>
              </w:rPr>
            </w:pPr>
            <w:r>
              <w:rPr>
                <w:rFonts w:hint="eastAsia" w:ascii="楷体_GB2312" w:eastAsia="楷体_GB2312"/>
                <w:b/>
                <w:szCs w:val="21"/>
              </w:rPr>
              <w:t>（一）局部应用情况评价。</w:t>
            </w:r>
          </w:p>
          <w:p>
            <w:pPr>
              <w:adjustRightInd w:val="0"/>
              <w:snapToGrid w:val="0"/>
              <w:ind w:firstLine="420" w:firstLineChars="200"/>
              <w:rPr>
                <w:rFonts w:ascii="仿宋_GB2312"/>
                <w:szCs w:val="21"/>
              </w:rPr>
            </w:pPr>
            <w:r>
              <w:rPr>
                <w:rFonts w:hint="eastAsia" w:ascii="仿宋_GB2312"/>
                <w:szCs w:val="21"/>
              </w:rPr>
              <w:t>局部功能评价是针对医疗机构中各个环节的医疗业务信息系统情况进行的评估。</w:t>
            </w:r>
          </w:p>
          <w:p>
            <w:pPr>
              <w:adjustRightInd w:val="0"/>
              <w:snapToGrid w:val="0"/>
              <w:ind w:firstLine="422" w:firstLineChars="200"/>
              <w:rPr>
                <w:rFonts w:ascii="仿宋_GB2312"/>
                <w:szCs w:val="21"/>
              </w:rPr>
            </w:pPr>
            <w:r>
              <w:rPr>
                <w:rFonts w:hint="eastAsia" w:ascii="仿宋_GB2312"/>
                <w:b/>
                <w:szCs w:val="21"/>
              </w:rPr>
              <w:t>1.评价项目：</w:t>
            </w:r>
            <w:r>
              <w:rPr>
                <w:rFonts w:hint="eastAsia" w:ascii="仿宋_GB2312"/>
                <w:szCs w:val="21"/>
              </w:rPr>
              <w:t>根据《电子病历系统功能规范（试行）》、《电子病历应用管理规范（试行）》等规范性文件，确定了医疗工作流程中的10个角色，39个评价项目（附后）。</w:t>
            </w:r>
          </w:p>
          <w:p>
            <w:pPr>
              <w:adjustRightInd w:val="0"/>
              <w:snapToGrid w:val="0"/>
              <w:ind w:firstLine="422" w:firstLineChars="200"/>
              <w:rPr>
                <w:rFonts w:ascii="仿宋_GB2312"/>
                <w:szCs w:val="21"/>
              </w:rPr>
            </w:pPr>
            <w:r>
              <w:rPr>
                <w:rFonts w:hint="eastAsia" w:ascii="仿宋_GB2312"/>
                <w:b/>
                <w:szCs w:val="21"/>
              </w:rPr>
              <w:t>2.局部应用情况评价方法：</w:t>
            </w:r>
            <w:r>
              <w:rPr>
                <w:rFonts w:hint="eastAsia" w:ascii="仿宋_GB2312"/>
                <w:szCs w:val="21"/>
              </w:rPr>
              <w:t>就39个评价项目分别对电子病历系统功能、有效应用、数据质量三个方面进行评分，将三个得分相乘，得到此评价项目的综合评分。即：</w:t>
            </w:r>
            <w:r>
              <w:rPr>
                <w:rFonts w:hint="eastAsia" w:ascii="仿宋_GB2312"/>
                <w:b/>
                <w:szCs w:val="21"/>
              </w:rPr>
              <w:t>单个项目综合评分=功能评分×有效应用评分×数据质量评分。</w:t>
            </w:r>
            <w:r>
              <w:rPr>
                <w:rFonts w:hint="eastAsia" w:ascii="仿宋_GB2312"/>
                <w:szCs w:val="21"/>
              </w:rPr>
              <w:t>各项目实际评分相加，即为该医疗机构电子病历系统评价总分。</w:t>
            </w:r>
          </w:p>
          <w:p>
            <w:pPr>
              <w:adjustRightInd w:val="0"/>
              <w:snapToGrid w:val="0"/>
              <w:ind w:firstLine="420" w:firstLineChars="200"/>
              <w:rPr>
                <w:rFonts w:ascii="仿宋_GB2312"/>
                <w:szCs w:val="21"/>
              </w:rPr>
            </w:pPr>
            <w:r>
              <w:rPr>
                <w:rFonts w:hint="eastAsia" w:ascii="仿宋_GB2312"/>
                <w:szCs w:val="21"/>
              </w:rPr>
              <w:t>（1）电子病历系统功能评分。对39个评价项目均按照电子病历应用水平0—8等级对应的系统局部要求，确定每一个评价项目对应等级的功能要求与评价内容（评为某一级别必须达到前几级别相应的要求）。根据各医疗机构电子病历系统相应评价项目达到的功能状态，确定该评价项目的得分。</w:t>
            </w:r>
          </w:p>
          <w:p>
            <w:pPr>
              <w:adjustRightInd w:val="0"/>
              <w:snapToGrid w:val="0"/>
              <w:ind w:firstLine="420" w:firstLineChars="200"/>
              <w:rPr>
                <w:rFonts w:ascii="仿宋_GB2312"/>
                <w:szCs w:val="21"/>
              </w:rPr>
            </w:pPr>
            <w:r>
              <w:rPr>
                <w:rFonts w:hint="eastAsia" w:ascii="仿宋_GB2312"/>
                <w:szCs w:val="21"/>
              </w:rPr>
              <w:t>（2）电子病历系统有效应用评分。按照每个评价项目的具体评价内容，分别计算该项目在医疗机构内的实际应用比例，所得比值即为得分，精确到小数点后两位。</w:t>
            </w:r>
          </w:p>
          <w:p>
            <w:pPr>
              <w:adjustRightInd w:val="0"/>
              <w:snapToGrid w:val="0"/>
              <w:ind w:firstLine="420" w:firstLineChars="200"/>
              <w:rPr>
                <w:rFonts w:ascii="仿宋_GB2312"/>
                <w:szCs w:val="21"/>
              </w:rPr>
            </w:pPr>
            <w:r>
              <w:rPr>
                <w:rFonts w:hint="eastAsia" w:ascii="仿宋_GB2312"/>
                <w:szCs w:val="21"/>
              </w:rPr>
              <w:t>（3）电子病历系统数据质量评分。按照每个评分项目中列出的数据质量评价内容，分别评价该项目相关评价数据的质量指数，所得指数为0—1之间的数值，精确到小数点后两位。</w:t>
            </w:r>
          </w:p>
          <w:p>
            <w:pPr>
              <w:adjustRightInd w:val="0"/>
              <w:snapToGrid w:val="0"/>
              <w:ind w:firstLine="420" w:firstLineChars="200"/>
              <w:rPr>
                <w:rFonts w:ascii="仿宋_GB2312"/>
                <w:szCs w:val="21"/>
              </w:rPr>
            </w:pPr>
            <w:r>
              <w:rPr>
                <w:rFonts w:hint="eastAsia" w:ascii="仿宋_GB2312"/>
                <w:szCs w:val="21"/>
              </w:rPr>
              <w:t>在考察某个级别的数据质量时，以本级别的数据质量指数为计算综合评分的依据。但在评价本级数据前应先评估该项目前级别的数据质量是否均符合要求，即前级别的数据质量指数均不得低于0.5。</w:t>
            </w:r>
          </w:p>
          <w:p>
            <w:pPr>
              <w:adjustRightInd w:val="0"/>
              <w:snapToGrid w:val="0"/>
              <w:ind w:firstLine="420" w:firstLineChars="200"/>
              <w:rPr>
                <w:rFonts w:ascii="仿宋_GB2312"/>
                <w:szCs w:val="21"/>
              </w:rPr>
            </w:pPr>
            <w:r>
              <w:rPr>
                <w:rFonts w:hint="eastAsia" w:ascii="仿宋_GB2312"/>
                <w:szCs w:val="21"/>
              </w:rPr>
              <w:t>数据质量评分主要考察数据质量的四个方面：</w:t>
            </w:r>
          </w:p>
          <w:p>
            <w:pPr>
              <w:ind w:firstLine="420" w:firstLineChars="200"/>
              <w:rPr>
                <w:rFonts w:ascii="仿宋_GB2312"/>
                <w:szCs w:val="21"/>
              </w:rPr>
            </w:pPr>
            <w:r>
              <w:rPr>
                <w:rFonts w:hint="eastAsia" w:ascii="仿宋_GB2312"/>
                <w:szCs w:val="21"/>
              </w:rPr>
              <w:t>（a）数据标准化与一致性：考察对应评价项目中关键数据项内容与字典数据内容的一致性。</w:t>
            </w:r>
          </w:p>
          <w:p>
            <w:pPr>
              <w:ind w:firstLine="420" w:firstLineChars="200"/>
              <w:rPr>
                <w:rFonts w:ascii="仿宋_GB2312"/>
                <w:szCs w:val="21"/>
              </w:rPr>
            </w:pPr>
            <w:r>
              <w:rPr>
                <w:rFonts w:hint="eastAsia" w:ascii="仿宋_GB2312"/>
                <w:szCs w:val="21"/>
              </w:rPr>
              <w:t>以数据字典项目为基准内容值，考察实际数据记录中与基准一致内容所占的比例。</w:t>
            </w:r>
            <w:r>
              <w:rPr>
                <w:rFonts w:hint="eastAsia" w:ascii="仿宋_GB2312"/>
                <w:b/>
                <w:szCs w:val="21"/>
              </w:rPr>
              <w:t>一致性系数=数据记录对应的项目中与字典内容一致的记录数/数据记录项的总记录数。</w:t>
            </w:r>
          </w:p>
          <w:p>
            <w:pPr>
              <w:ind w:firstLine="420" w:firstLineChars="200"/>
              <w:rPr>
                <w:rFonts w:ascii="仿宋_GB2312"/>
                <w:color w:val="FF0000"/>
                <w:szCs w:val="21"/>
              </w:rPr>
            </w:pPr>
            <w:r>
              <w:rPr>
                <w:rFonts w:hint="eastAsia" w:ascii="仿宋_GB2312"/>
                <w:szCs w:val="21"/>
              </w:rPr>
              <w:t>（b）数据完整性：考察对应项目中必填项数据的完整情况、常用项数据的完整情况。必填项是记录电子病历数据时必须有的内容。常用项是电子病历记录用于临床决策支持、质量管理应用时所需要的内容。</w:t>
            </w:r>
          </w:p>
          <w:p>
            <w:pPr>
              <w:ind w:firstLine="420" w:firstLineChars="200"/>
              <w:rPr>
                <w:rFonts w:ascii="仿宋_GB2312"/>
                <w:color w:val="FF0000"/>
                <w:szCs w:val="21"/>
              </w:rPr>
            </w:pPr>
            <w:r>
              <w:rPr>
                <w:rFonts w:hint="eastAsia" w:ascii="仿宋_GB2312"/>
                <w:szCs w:val="21"/>
              </w:rPr>
              <w:t>以评价项目列出的具体项目清单为基准，考察项目清单所列实际数据记录中项目内容完整（或内容超过合理字符）所占的比例。</w:t>
            </w:r>
            <w:r>
              <w:rPr>
                <w:rFonts w:hint="eastAsia" w:ascii="仿宋_GB2312"/>
                <w:b/>
                <w:szCs w:val="21"/>
              </w:rPr>
              <w:t>完整性系数= 项目内容完整（或内容效果合理字符）记录数/项目总记录数。</w:t>
            </w:r>
            <w:r>
              <w:rPr>
                <w:rFonts w:hint="eastAsia" w:ascii="仿宋_GB2312"/>
                <w:szCs w:val="21"/>
              </w:rPr>
              <w:t>对于结构化数据，直接用数据项目的内容进行判断；对于文件数据，可使用文件内容字符数、特定的结构化标记要求内容进行判断。</w:t>
            </w:r>
          </w:p>
          <w:p>
            <w:pPr>
              <w:ind w:firstLine="420" w:firstLineChars="200"/>
              <w:rPr>
                <w:rFonts w:ascii="仿宋_GB2312"/>
                <w:szCs w:val="21"/>
              </w:rPr>
            </w:pPr>
            <w:r>
              <w:rPr>
                <w:rFonts w:hint="eastAsia" w:ascii="仿宋_GB2312"/>
                <w:szCs w:val="21"/>
              </w:rPr>
              <w:t>（c）数据整合性能：考察对应项目中的关键项数据与相关项目（或系统）对应项目可否对照或关联。</w:t>
            </w:r>
          </w:p>
          <w:p>
            <w:pPr>
              <w:ind w:firstLine="420" w:firstLineChars="200"/>
              <w:rPr>
                <w:rFonts w:ascii="仿宋_GB2312"/>
                <w:szCs w:val="21"/>
              </w:rPr>
            </w:pPr>
            <w:r>
              <w:rPr>
                <w:rFonts w:hint="eastAsia" w:ascii="仿宋_GB2312"/>
                <w:szCs w:val="21"/>
              </w:rPr>
              <w:t>按照列出的两个对应考察项目相关的数据记录中匹配对照项的一致性或可对照性，需要从两个层次评估：是否有对照项；对照项目数据的一致性。</w:t>
            </w:r>
            <w:r>
              <w:rPr>
                <w:rFonts w:hint="eastAsia" w:ascii="仿宋_GB2312"/>
                <w:b/>
                <w:szCs w:val="21"/>
              </w:rPr>
              <w:t>数据整合性系数=对照项可匹配数/项目总记录数。</w:t>
            </w:r>
            <w:r>
              <w:rPr>
                <w:rFonts w:hint="eastAsia" w:ascii="仿宋_GB2312"/>
                <w:szCs w:val="21"/>
              </w:rPr>
              <w:t>空值（或空格值）作为不可匹配项处理。</w:t>
            </w:r>
          </w:p>
          <w:p>
            <w:pPr>
              <w:ind w:firstLine="420" w:firstLineChars="200"/>
              <w:rPr>
                <w:rFonts w:ascii="仿宋_GB2312"/>
                <w:szCs w:val="21"/>
              </w:rPr>
            </w:pPr>
            <w:r>
              <w:rPr>
                <w:rFonts w:hint="eastAsia" w:ascii="仿宋_GB2312"/>
                <w:szCs w:val="21"/>
              </w:rPr>
              <w:t>（d）数据及时性：考察对应项目中时间相关项完整性、逻辑合理性。</w:t>
            </w:r>
          </w:p>
          <w:p>
            <w:pPr>
              <w:ind w:firstLine="420" w:firstLineChars="200"/>
              <w:rPr>
                <w:rFonts w:ascii="仿宋_GB2312"/>
                <w:szCs w:val="21"/>
              </w:rPr>
            </w:pPr>
            <w:r>
              <w:rPr>
                <w:rFonts w:hint="eastAsia" w:ascii="仿宋_GB2312"/>
                <w:szCs w:val="21"/>
              </w:rPr>
              <w:t>根据列出时间项目清单内容进行判断，主要看时间项是否有数值，其内容是否符合时间顺序关系。</w:t>
            </w:r>
            <w:r>
              <w:rPr>
                <w:rFonts w:hint="eastAsia" w:ascii="仿宋_GB2312"/>
                <w:b/>
                <w:szCs w:val="21"/>
              </w:rPr>
              <w:t>数据及时性系数=数据记录内容符合逻辑关系时间项数量/考察记录时间项目总数量。</w:t>
            </w:r>
            <w:r>
              <w:rPr>
                <w:rFonts w:hint="eastAsia" w:ascii="仿宋_GB2312"/>
                <w:szCs w:val="21"/>
              </w:rPr>
              <w:t>针对每个项目，列出进行考察的时间项目清单以及这些项目之间的时间顺序、时间间隔等逻辑关系说明。</w:t>
            </w:r>
          </w:p>
          <w:p>
            <w:pPr>
              <w:adjustRightInd w:val="0"/>
              <w:snapToGrid w:val="0"/>
              <w:ind w:firstLine="422" w:firstLineChars="200"/>
              <w:outlineLvl w:val="1"/>
              <w:rPr>
                <w:rFonts w:ascii="楷体_GB2312" w:eastAsia="楷体_GB2312"/>
                <w:b/>
                <w:szCs w:val="21"/>
              </w:rPr>
            </w:pPr>
            <w:r>
              <w:rPr>
                <w:rFonts w:hint="eastAsia" w:ascii="楷体_GB2312" w:eastAsia="楷体_GB2312"/>
                <w:b/>
                <w:szCs w:val="21"/>
              </w:rPr>
              <w:t>（二）整体应用水平评价。</w:t>
            </w:r>
          </w:p>
          <w:p>
            <w:pPr>
              <w:ind w:firstLine="643"/>
              <w:rPr>
                <w:rFonts w:ascii="仿宋_GB2312"/>
                <w:szCs w:val="21"/>
              </w:rPr>
            </w:pPr>
            <w:r>
              <w:rPr>
                <w:rFonts w:hint="eastAsia" w:ascii="仿宋_GB2312"/>
                <w:szCs w:val="21"/>
              </w:rPr>
              <w:t>整体应用水平评价是针对医疗机构电子病历整体应用情况的评估。整体应用水平主要根据局部功能评价的39个项目评价结果汇总产生医院的整体电子病历应用水平评价，具体方法是按照总分、基本项目完成情况、选择项目完成情况获得对医疗机构整体的电子病历应用水平评价结果。电子病历系统的整体应用水平按照9个等级（0—8级）进行评价，各个等级与“三、评价分级”中的要求相对应。当医疗机构的局部评价结果同时满足“电子病历系统整体应用水平分级评价基本要求”所列表中对应某个级别的总分、基本项目、选择项目的要求时，才可以评价医疗机构电子病历应用水平整体达到这个等级，具体定义如下：</w:t>
            </w:r>
          </w:p>
          <w:p>
            <w:pPr>
              <w:adjustRightInd w:val="0"/>
              <w:snapToGrid w:val="0"/>
              <w:ind w:firstLine="422" w:firstLineChars="200"/>
              <w:rPr>
                <w:rFonts w:ascii="楷体_GB2312" w:eastAsia="楷体_GB2312"/>
                <w:b/>
                <w:szCs w:val="21"/>
              </w:rPr>
            </w:pPr>
            <w:r>
              <w:rPr>
                <w:rFonts w:hint="eastAsia" w:ascii="楷体_GB2312" w:eastAsia="楷体_GB2312"/>
                <w:b/>
                <w:szCs w:val="21"/>
              </w:rPr>
              <w:t>（1）电子病历系统评价总分。</w:t>
            </w:r>
          </w:p>
          <w:p>
            <w:pPr>
              <w:adjustRightInd w:val="0"/>
              <w:snapToGrid w:val="0"/>
              <w:ind w:firstLine="420" w:firstLineChars="200"/>
              <w:rPr>
                <w:rFonts w:ascii="仿宋_GB2312"/>
                <w:b/>
                <w:szCs w:val="21"/>
              </w:rPr>
            </w:pPr>
            <w:r>
              <w:rPr>
                <w:rFonts w:hint="eastAsia" w:ascii="仿宋_GB2312"/>
                <w:szCs w:val="21"/>
              </w:rPr>
              <w:t>评价总分即局部评价时各个项目评分的总和，是反映医疗机构电子病历整体应用情况的量化指标。评价总分不应低于该级别要求的最低总分标准。例如，医疗机构电子病历系统要评价为第3级水平，则医疗机构电子病历系统评价总分不得少于85分。</w:t>
            </w:r>
          </w:p>
          <w:p>
            <w:pPr>
              <w:adjustRightInd w:val="0"/>
              <w:snapToGrid w:val="0"/>
              <w:ind w:firstLine="422" w:firstLineChars="200"/>
              <w:rPr>
                <w:rFonts w:ascii="楷体_GB2312" w:eastAsia="楷体_GB2312"/>
                <w:b/>
                <w:szCs w:val="21"/>
              </w:rPr>
            </w:pPr>
            <w:r>
              <w:rPr>
                <w:rFonts w:hint="eastAsia" w:ascii="楷体_GB2312" w:eastAsia="楷体_GB2312"/>
                <w:b/>
                <w:szCs w:val="21"/>
              </w:rPr>
              <w:t>（2）基本项目完成情况。</w:t>
            </w:r>
          </w:p>
          <w:p>
            <w:pPr>
              <w:adjustRightInd w:val="0"/>
              <w:snapToGrid w:val="0"/>
              <w:ind w:firstLine="420" w:firstLineChars="200"/>
              <w:rPr>
                <w:rFonts w:ascii="仿宋_GB2312"/>
                <w:szCs w:val="21"/>
              </w:rPr>
            </w:pPr>
            <w:r>
              <w:rPr>
                <w:rFonts w:hint="eastAsia" w:ascii="仿宋_GB2312"/>
                <w:szCs w:val="21"/>
              </w:rPr>
              <w:t>基本项目是电子病历系统中的关键功能，“电子病历系统应用水平分级评分标准”中列出的各个级别的基本项是医疗机构整体达到该级别所必须实现的功能，且每个基本项目的有效应用范围必须达到80%以上，数据质量指数在0.5以上。例如，医疗机构电子病历系统达到第3级，则电子病历系统中列为第3等级的14个基本项目必须达到或超过第3级的功能，且每个基本项目的评分均必须超过3×0.8×0.5=1.2分。</w:t>
            </w:r>
          </w:p>
          <w:p>
            <w:pPr>
              <w:adjustRightInd w:val="0"/>
              <w:snapToGrid w:val="0"/>
              <w:ind w:firstLine="422" w:firstLineChars="200"/>
              <w:rPr>
                <w:rFonts w:ascii="楷体_GB2312" w:eastAsia="楷体_GB2312"/>
                <w:b/>
                <w:szCs w:val="21"/>
              </w:rPr>
            </w:pPr>
            <w:r>
              <w:rPr>
                <w:rFonts w:hint="eastAsia" w:ascii="楷体_GB2312" w:eastAsia="楷体_GB2312"/>
                <w:b/>
                <w:szCs w:val="21"/>
              </w:rPr>
              <w:t>（3）选择项目完成情况。</w:t>
            </w:r>
          </w:p>
          <w:p>
            <w:pPr>
              <w:adjustRightInd w:val="0"/>
              <w:snapToGrid w:val="0"/>
              <w:ind w:firstLine="420" w:firstLineChars="200"/>
              <w:rPr>
                <w:rFonts w:ascii="仿宋_GB2312"/>
                <w:szCs w:val="21"/>
              </w:rPr>
            </w:pPr>
            <w:r>
              <w:rPr>
                <w:rFonts w:hint="eastAsia" w:ascii="仿宋_GB2312"/>
                <w:szCs w:val="21"/>
              </w:rPr>
              <w:t>考察选择项的目的是保证医疗机构中局部达标的项目数（基本项+选择项）整体上不低于全部项目的2/3。选择项目的有效应用范围不应低于50%，数据质量指数在0.5以上。例如，医疗机构电子病历系统达到第3级，则电子病历系统必须在第3等级25个选择项目中，至少有12个选择项目达到或超过3级，且这12个选择项目评分均必须超过3×0.5×0.5=0.75分。</w:t>
            </w:r>
          </w:p>
          <w:p>
            <w:pPr>
              <w:adjustRightInd w:val="0"/>
              <w:snapToGrid w:val="0"/>
              <w:ind w:firstLine="420" w:firstLineChars="200"/>
              <w:outlineLvl w:val="0"/>
              <w:rPr>
                <w:rFonts w:ascii="黑体" w:eastAsia="黑体"/>
                <w:szCs w:val="21"/>
              </w:rPr>
            </w:pPr>
            <w:r>
              <w:rPr>
                <w:rFonts w:hint="eastAsia" w:ascii="黑体" w:eastAsia="黑体"/>
                <w:szCs w:val="21"/>
              </w:rPr>
              <w:t>五、评价标准</w:t>
            </w:r>
          </w:p>
          <w:p>
            <w:pPr>
              <w:adjustRightInd w:val="0"/>
              <w:snapToGrid w:val="0"/>
              <w:ind w:firstLine="420" w:firstLineChars="200"/>
              <w:rPr>
                <w:rFonts w:ascii="仿宋_GB2312"/>
                <w:szCs w:val="21"/>
              </w:rPr>
            </w:pPr>
            <w:r>
              <w:rPr>
                <w:rFonts w:hint="eastAsia" w:ascii="仿宋_GB2312"/>
                <w:szCs w:val="21"/>
              </w:rPr>
              <w:t>本标准所规定的电子病历系统应用水平的分级评价方法和标准主要评估医疗信息处理相关信息系统的应用水平。医院信息系统其他方面（如运营信息管理、病人服务信息管理、教学科研信息管理等）的应用水平评价方法不包含在本标准中。</w:t>
            </w:r>
          </w:p>
          <w:p>
            <w:pPr>
              <w:widowControl/>
              <w:tabs>
                <w:tab w:val="left" w:pos="720"/>
              </w:tabs>
              <w:spacing w:line="360" w:lineRule="auto"/>
              <w:jc w:val="center"/>
              <w:rPr>
                <w:rFonts w:ascii="微软雅黑" w:hAnsi="微软雅黑" w:eastAsia="微软雅黑" w:cs="微软雅黑"/>
                <w:color w:val="000000"/>
                <w:kern w:val="0"/>
                <w:sz w:val="24"/>
              </w:rPr>
            </w:pPr>
          </w:p>
        </w:tc>
        <w:tc>
          <w:tcPr>
            <w:tcW w:w="1305" w:type="dxa"/>
          </w:tcPr>
          <w:p>
            <w:pPr>
              <w:widowControl/>
              <w:tabs>
                <w:tab w:val="left" w:pos="720"/>
              </w:tabs>
              <w:spacing w:line="360" w:lineRule="auto"/>
              <w:jc w:val="center"/>
              <w:rPr>
                <w:rFonts w:ascii="微软雅黑" w:hAnsi="微软雅黑" w:eastAsia="微软雅黑" w:cs="微软雅黑"/>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766" w:type="dxa"/>
          </w:tcPr>
          <w:p>
            <w:pPr>
              <w:widowControl/>
              <w:tabs>
                <w:tab w:val="left" w:pos="720"/>
              </w:tabs>
              <w:spacing w:line="360" w:lineRule="auto"/>
              <w:jc w:val="cente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3</w:t>
            </w:r>
          </w:p>
        </w:tc>
        <w:tc>
          <w:tcPr>
            <w:tcW w:w="1486" w:type="dxa"/>
          </w:tcPr>
          <w:p>
            <w:pPr>
              <w:widowControl/>
              <w:tabs>
                <w:tab w:val="left" w:pos="720"/>
              </w:tabs>
              <w:spacing w:line="360" w:lineRule="auto"/>
              <w:jc w:val="cente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参评资料指导</w:t>
            </w:r>
          </w:p>
        </w:tc>
        <w:tc>
          <w:tcPr>
            <w:tcW w:w="4965" w:type="dxa"/>
          </w:tcPr>
          <w:p>
            <w:pPr>
              <w:outlineLvl w:val="2"/>
              <w:rPr>
                <w:rFonts w:ascii="Calibri" w:hAnsi="Calibri"/>
                <w:color w:val="000000"/>
                <w:sz w:val="28"/>
                <w:szCs w:val="28"/>
              </w:rPr>
            </w:pPr>
            <w:r>
              <w:rPr>
                <w:rFonts w:hint="eastAsia" w:ascii="Calibri" w:hAnsi="Calibri"/>
                <w:color w:val="000000"/>
                <w:sz w:val="28"/>
                <w:szCs w:val="28"/>
              </w:rPr>
              <w:t>指导实证材料截图注意事项</w:t>
            </w:r>
          </w:p>
          <w:p>
            <w:pPr>
              <w:adjustRightInd w:val="0"/>
              <w:snapToGrid w:val="0"/>
              <w:ind w:firstLine="420" w:firstLineChars="200"/>
              <w:rPr>
                <w:rFonts w:ascii="仿宋_GB2312"/>
                <w:color w:val="000000"/>
                <w:szCs w:val="21"/>
              </w:rPr>
            </w:pPr>
            <w:r>
              <w:rPr>
                <w:rFonts w:hint="eastAsia" w:ascii="仿宋_GB2312"/>
                <w:color w:val="000000"/>
                <w:szCs w:val="21"/>
              </w:rPr>
              <w:t>针对我院需要上报的实证截图材料中每一个图进行审核，审核按照以下截图注意事项筛选出不符合要求的截图。并给出不符合要求的原因。实证材料截图时选择项目能满足的都要截图截图出来，避免出现个别选择项专家认为不合格出现分数不够情况。现场配合及协助医院人员截图，避免返工。</w:t>
            </w:r>
          </w:p>
          <w:p>
            <w:pPr>
              <w:adjustRightInd w:val="0"/>
              <w:snapToGrid w:val="0"/>
              <w:rPr>
                <w:rFonts w:ascii="仿宋_GB2312"/>
                <w:color w:val="000000"/>
                <w:szCs w:val="21"/>
              </w:rPr>
            </w:pPr>
            <w:r>
              <w:rPr>
                <w:rFonts w:hint="eastAsia" w:ascii="仿宋_GB2312"/>
                <w:color w:val="000000"/>
                <w:szCs w:val="21"/>
              </w:rPr>
              <w:t>截图需注意事项：</w:t>
            </w:r>
          </w:p>
          <w:p>
            <w:pPr>
              <w:adjustRightInd w:val="0"/>
              <w:snapToGrid w:val="0"/>
              <w:rPr>
                <w:rFonts w:ascii="仿宋_GB2312"/>
                <w:color w:val="000000"/>
                <w:szCs w:val="21"/>
              </w:rPr>
            </w:pPr>
            <w:r>
              <w:rPr>
                <w:rFonts w:hint="eastAsia" w:ascii="仿宋_GB2312"/>
                <w:color w:val="000000"/>
                <w:szCs w:val="21"/>
              </w:rPr>
              <w:t>1、实证材料</w:t>
            </w:r>
            <w:r>
              <w:rPr>
                <w:rFonts w:ascii="仿宋_GB2312"/>
                <w:color w:val="000000"/>
                <w:szCs w:val="21"/>
              </w:rPr>
              <w:t>截图时</w:t>
            </w:r>
            <w:r>
              <w:rPr>
                <w:rFonts w:hint="eastAsia" w:ascii="仿宋_GB2312"/>
                <w:color w:val="000000"/>
                <w:szCs w:val="21"/>
              </w:rPr>
              <w:t>功能点中包含同一患者的字样一定要用用同一个患者去截图</w:t>
            </w:r>
          </w:p>
          <w:p>
            <w:pPr>
              <w:adjustRightInd w:val="0"/>
              <w:snapToGrid w:val="0"/>
              <w:rPr>
                <w:rFonts w:ascii="仿宋_GB2312"/>
                <w:color w:val="000000"/>
                <w:szCs w:val="21"/>
              </w:rPr>
            </w:pPr>
            <w:r>
              <w:rPr>
                <w:rFonts w:hint="eastAsia" w:ascii="仿宋_GB2312"/>
                <w:color w:val="000000"/>
                <w:szCs w:val="21"/>
              </w:rPr>
              <w:t>2、实证材料</w:t>
            </w:r>
            <w:r>
              <w:rPr>
                <w:rFonts w:ascii="仿宋_GB2312"/>
                <w:color w:val="000000"/>
                <w:szCs w:val="21"/>
              </w:rPr>
              <w:t>截图</w:t>
            </w:r>
            <w:r>
              <w:rPr>
                <w:rFonts w:hint="eastAsia" w:ascii="仿宋_GB2312"/>
                <w:color w:val="000000"/>
                <w:szCs w:val="21"/>
              </w:rPr>
              <w:t>时一定要充分考虑数据质量及应用范围</w:t>
            </w:r>
          </w:p>
          <w:p>
            <w:pPr>
              <w:adjustRightInd w:val="0"/>
              <w:snapToGrid w:val="0"/>
              <w:rPr>
                <w:rFonts w:ascii="仿宋_GB2312"/>
                <w:color w:val="000000"/>
                <w:szCs w:val="21"/>
              </w:rPr>
            </w:pPr>
            <w:r>
              <w:rPr>
                <w:rFonts w:hint="eastAsia" w:ascii="仿宋_GB2312"/>
                <w:color w:val="000000"/>
                <w:szCs w:val="21"/>
              </w:rPr>
              <w:t>3、实证材料</w:t>
            </w:r>
            <w:r>
              <w:rPr>
                <w:rFonts w:ascii="仿宋_GB2312"/>
                <w:color w:val="000000"/>
                <w:szCs w:val="21"/>
              </w:rPr>
              <w:t>截图时</w:t>
            </w:r>
            <w:r>
              <w:rPr>
                <w:rFonts w:hint="eastAsia" w:ascii="仿宋_GB2312"/>
                <w:color w:val="000000"/>
                <w:szCs w:val="21"/>
              </w:rPr>
              <w:t>不要一个用户登录多个科室多个角色去截图</w:t>
            </w:r>
          </w:p>
          <w:p>
            <w:pPr>
              <w:adjustRightInd w:val="0"/>
              <w:snapToGrid w:val="0"/>
              <w:rPr>
                <w:rFonts w:ascii="仿宋_GB2312"/>
                <w:color w:val="000000"/>
                <w:szCs w:val="21"/>
              </w:rPr>
            </w:pPr>
            <w:r>
              <w:rPr>
                <w:rFonts w:hint="eastAsia" w:ascii="仿宋_GB2312"/>
                <w:color w:val="000000"/>
                <w:szCs w:val="21"/>
              </w:rPr>
              <w:t>4、实证材料</w:t>
            </w:r>
            <w:r>
              <w:rPr>
                <w:rFonts w:ascii="仿宋_GB2312"/>
                <w:color w:val="000000"/>
                <w:szCs w:val="21"/>
              </w:rPr>
              <w:t>截图时</w:t>
            </w:r>
            <w:r>
              <w:rPr>
                <w:rFonts w:hint="eastAsia" w:ascii="仿宋_GB2312"/>
                <w:color w:val="000000"/>
                <w:szCs w:val="21"/>
              </w:rPr>
              <w:t>不能使用管理员账户</w:t>
            </w:r>
          </w:p>
          <w:p>
            <w:pPr>
              <w:adjustRightInd w:val="0"/>
              <w:snapToGrid w:val="0"/>
              <w:rPr>
                <w:rFonts w:ascii="仿宋_GB2312"/>
                <w:color w:val="000000"/>
                <w:szCs w:val="21"/>
              </w:rPr>
            </w:pPr>
            <w:r>
              <w:rPr>
                <w:rFonts w:hint="eastAsia" w:ascii="仿宋_GB2312"/>
                <w:color w:val="000000"/>
                <w:szCs w:val="21"/>
              </w:rPr>
              <w:t>5、实证材料截图</w:t>
            </w:r>
            <w:r>
              <w:rPr>
                <w:rFonts w:ascii="仿宋_GB2312"/>
                <w:color w:val="000000"/>
                <w:szCs w:val="21"/>
              </w:rPr>
              <w:t>时</w:t>
            </w:r>
            <w:r>
              <w:rPr>
                <w:rFonts w:hint="eastAsia" w:ascii="仿宋_GB2312"/>
                <w:color w:val="000000"/>
                <w:szCs w:val="21"/>
              </w:rPr>
              <w:t>要截全屏把右下角时间显示出来</w:t>
            </w:r>
          </w:p>
          <w:p>
            <w:pPr>
              <w:adjustRightInd w:val="0"/>
              <w:snapToGrid w:val="0"/>
              <w:rPr>
                <w:rFonts w:ascii="仿宋_GB2312"/>
                <w:color w:val="000000"/>
                <w:szCs w:val="21"/>
              </w:rPr>
            </w:pPr>
            <w:r>
              <w:rPr>
                <w:rFonts w:hint="eastAsia" w:ascii="仿宋_GB2312"/>
                <w:color w:val="000000"/>
                <w:szCs w:val="21"/>
              </w:rPr>
              <w:t>6、实证材料截图</w:t>
            </w:r>
            <w:r>
              <w:rPr>
                <w:rFonts w:ascii="仿宋_GB2312"/>
                <w:color w:val="000000"/>
                <w:szCs w:val="21"/>
              </w:rPr>
              <w:t>时</w:t>
            </w:r>
            <w:r>
              <w:rPr>
                <w:rFonts w:hint="eastAsia" w:ascii="仿宋_GB2312"/>
                <w:color w:val="000000"/>
                <w:szCs w:val="21"/>
              </w:rPr>
              <w:t>不可内网外都用、例如出现微信、QQ等图标</w:t>
            </w:r>
          </w:p>
          <w:p>
            <w:pPr>
              <w:adjustRightInd w:val="0"/>
              <w:snapToGrid w:val="0"/>
              <w:rPr>
                <w:rFonts w:ascii="仿宋_GB2312"/>
                <w:color w:val="000000"/>
                <w:szCs w:val="21"/>
              </w:rPr>
            </w:pPr>
            <w:r>
              <w:rPr>
                <w:rFonts w:hint="eastAsia" w:ascii="仿宋_GB2312"/>
                <w:color w:val="000000"/>
                <w:szCs w:val="21"/>
              </w:rPr>
              <w:t>7、实证材料截图</w:t>
            </w:r>
            <w:r>
              <w:rPr>
                <w:rFonts w:ascii="仿宋_GB2312"/>
                <w:color w:val="000000"/>
                <w:szCs w:val="21"/>
              </w:rPr>
              <w:t>时</w:t>
            </w:r>
            <w:r>
              <w:rPr>
                <w:rFonts w:hint="eastAsia" w:ascii="仿宋_GB2312"/>
                <w:color w:val="000000"/>
                <w:szCs w:val="21"/>
              </w:rPr>
              <w:t>要隐藏患者的一些关键基本信息如：姓名、身份证、地址等</w:t>
            </w:r>
          </w:p>
          <w:p>
            <w:pPr>
              <w:adjustRightInd w:val="0"/>
              <w:snapToGrid w:val="0"/>
              <w:rPr>
                <w:rFonts w:ascii="仿宋_GB2312"/>
                <w:color w:val="000000"/>
                <w:szCs w:val="21"/>
              </w:rPr>
            </w:pPr>
            <w:r>
              <w:rPr>
                <w:rFonts w:hint="eastAsia" w:ascii="仿宋_GB2312"/>
                <w:color w:val="000000"/>
                <w:szCs w:val="21"/>
              </w:rPr>
              <w:t>8、实证材料</w:t>
            </w:r>
            <w:r>
              <w:rPr>
                <w:rFonts w:ascii="仿宋_GB2312"/>
                <w:color w:val="000000"/>
                <w:szCs w:val="21"/>
              </w:rPr>
              <w:t>截图时</w:t>
            </w:r>
            <w:r>
              <w:rPr>
                <w:rFonts w:hint="eastAsia" w:ascii="仿宋_GB2312"/>
                <w:color w:val="000000"/>
                <w:szCs w:val="21"/>
              </w:rPr>
              <w:t>尽可能的做出说明</w:t>
            </w:r>
          </w:p>
          <w:p>
            <w:pPr>
              <w:outlineLvl w:val="2"/>
              <w:rPr>
                <w:rFonts w:ascii="Calibri" w:hAnsi="Calibri"/>
                <w:color w:val="000000"/>
                <w:sz w:val="28"/>
                <w:szCs w:val="28"/>
              </w:rPr>
            </w:pPr>
            <w:r>
              <w:rPr>
                <w:rFonts w:hint="eastAsia" w:ascii="Calibri" w:hAnsi="Calibri"/>
                <w:color w:val="000000"/>
                <w:sz w:val="28"/>
                <w:szCs w:val="28"/>
              </w:rPr>
              <w:t>3.2指导数据质量实证材料注意事项</w:t>
            </w:r>
          </w:p>
          <w:p>
            <w:pPr>
              <w:adjustRightInd w:val="0"/>
              <w:snapToGrid w:val="0"/>
              <w:ind w:firstLine="420" w:firstLineChars="200"/>
              <w:rPr>
                <w:rFonts w:ascii="仿宋_GB2312"/>
                <w:color w:val="000000"/>
                <w:szCs w:val="21"/>
              </w:rPr>
            </w:pPr>
            <w:r>
              <w:rPr>
                <w:rFonts w:hint="eastAsia" w:ascii="仿宋_GB2312"/>
                <w:color w:val="000000"/>
                <w:szCs w:val="21"/>
              </w:rPr>
              <w:t>针对我院的数据质量文档逐一审核sql语句，及查询出的数据，计算出数据质量。指导我院人员写sql语句及数据质量不等于1的说明。指导我院人员所有的实证截图材料及数据质量文档排版等。</w:t>
            </w:r>
          </w:p>
          <w:p>
            <w:pPr>
              <w:widowControl/>
              <w:tabs>
                <w:tab w:val="left" w:pos="720"/>
              </w:tabs>
              <w:spacing w:line="360" w:lineRule="auto"/>
              <w:jc w:val="center"/>
              <w:rPr>
                <w:rFonts w:ascii="微软雅黑" w:hAnsi="微软雅黑" w:eastAsia="微软雅黑" w:cs="微软雅黑"/>
                <w:color w:val="000000"/>
                <w:kern w:val="0"/>
                <w:sz w:val="24"/>
              </w:rPr>
            </w:pPr>
          </w:p>
        </w:tc>
        <w:tc>
          <w:tcPr>
            <w:tcW w:w="1305" w:type="dxa"/>
          </w:tcPr>
          <w:p>
            <w:pPr>
              <w:widowControl/>
              <w:tabs>
                <w:tab w:val="left" w:pos="720"/>
              </w:tabs>
              <w:spacing w:line="360" w:lineRule="auto"/>
              <w:jc w:val="center"/>
              <w:rPr>
                <w:rFonts w:ascii="微软雅黑" w:hAnsi="微软雅黑" w:eastAsia="微软雅黑" w:cs="微软雅黑"/>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766" w:type="dxa"/>
          </w:tcPr>
          <w:p>
            <w:pPr>
              <w:widowControl/>
              <w:tabs>
                <w:tab w:val="left" w:pos="720"/>
              </w:tabs>
              <w:spacing w:line="360" w:lineRule="auto"/>
              <w:jc w:val="cente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4</w:t>
            </w:r>
          </w:p>
        </w:tc>
        <w:tc>
          <w:tcPr>
            <w:tcW w:w="1486" w:type="dxa"/>
          </w:tcPr>
          <w:p>
            <w:pPr>
              <w:widowControl/>
              <w:tabs>
                <w:tab w:val="left" w:pos="720"/>
              </w:tabs>
              <w:spacing w:line="360" w:lineRule="auto"/>
              <w:jc w:val="cente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测评服务指导</w:t>
            </w:r>
          </w:p>
        </w:tc>
        <w:tc>
          <w:tcPr>
            <w:tcW w:w="4965" w:type="dxa"/>
          </w:tcPr>
          <w:p>
            <w:pPr>
              <w:adjustRightInd w:val="0"/>
              <w:snapToGrid w:val="0"/>
              <w:ind w:firstLine="420" w:firstLineChars="200"/>
              <w:rPr>
                <w:rFonts w:ascii="仿宋_GB2312"/>
                <w:color w:val="000000"/>
                <w:szCs w:val="21"/>
              </w:rPr>
            </w:pPr>
            <w:r>
              <w:rPr>
                <w:rFonts w:hint="eastAsia" w:ascii="仿宋_GB2312"/>
                <w:color w:val="000000"/>
                <w:szCs w:val="21"/>
              </w:rPr>
              <w:t>电子病历系统应用水平分级中提到的“电子病历系统”，并非狭义的医生书写使用的电子病历系统，共涉及到10个角色、39个条目。另外电子病历评级不是对系统功能的评级，而是对医院应用水平的评级，所以要通过电子病历评级需要全院各部门紧密配合。为此指导医院成立电子病历评级工作组。</w:t>
            </w:r>
          </w:p>
          <w:p>
            <w:pPr>
              <w:outlineLvl w:val="2"/>
              <w:rPr>
                <w:rFonts w:ascii="Calibri" w:hAnsi="Calibri"/>
                <w:color w:val="000000"/>
                <w:sz w:val="28"/>
                <w:szCs w:val="28"/>
              </w:rPr>
            </w:pPr>
            <w:r>
              <w:rPr>
                <w:rFonts w:hint="eastAsia" w:ascii="Calibri" w:hAnsi="Calibri"/>
                <w:color w:val="000000"/>
                <w:sz w:val="28"/>
                <w:szCs w:val="28"/>
              </w:rPr>
              <w:t>4.1、成立电子病历评级工作组</w:t>
            </w:r>
          </w:p>
          <w:p>
            <w:pPr>
              <w:adjustRightInd w:val="0"/>
              <w:snapToGrid w:val="0"/>
              <w:ind w:firstLine="420" w:firstLineChars="200"/>
              <w:rPr>
                <w:rFonts w:ascii="仿宋_GB2312"/>
                <w:color w:val="000000"/>
                <w:szCs w:val="21"/>
              </w:rPr>
            </w:pPr>
            <w:r>
              <w:rPr>
                <w:rFonts w:hint="eastAsia" w:ascii="仿宋_GB2312"/>
                <w:color w:val="000000"/>
                <w:szCs w:val="21"/>
              </w:rPr>
              <w:t>1）领导组</w:t>
            </w:r>
          </w:p>
          <w:p>
            <w:pPr>
              <w:adjustRightInd w:val="0"/>
              <w:snapToGrid w:val="0"/>
              <w:ind w:firstLine="420" w:firstLineChars="200"/>
              <w:rPr>
                <w:rFonts w:ascii="仿宋_GB2312"/>
                <w:color w:val="000000"/>
                <w:szCs w:val="21"/>
              </w:rPr>
            </w:pPr>
            <w:r>
              <w:rPr>
                <w:rFonts w:hint="eastAsia" w:ascii="仿宋_GB2312"/>
                <w:color w:val="000000"/>
                <w:szCs w:val="21"/>
              </w:rPr>
              <w:t>组长由院长担任，负责电子病历评级准备工作的整体推进及协调。成员包括门诊部、医务科、护理部、检查科室、检验科室、药学、手麻、治疗科室、信息部门负责人，负责各自部门电子评级的相关工作。</w:t>
            </w:r>
          </w:p>
          <w:p>
            <w:pPr>
              <w:adjustRightInd w:val="0"/>
              <w:snapToGrid w:val="0"/>
              <w:ind w:firstLine="420" w:firstLineChars="200"/>
              <w:rPr>
                <w:rFonts w:ascii="仿宋_GB2312"/>
                <w:color w:val="000000"/>
                <w:szCs w:val="21"/>
              </w:rPr>
            </w:pPr>
            <w:r>
              <w:rPr>
                <w:rFonts w:hint="eastAsia" w:ascii="仿宋_GB2312"/>
                <w:color w:val="000000"/>
                <w:szCs w:val="21"/>
              </w:rPr>
              <w:t>2）工作组员</w:t>
            </w:r>
          </w:p>
          <w:p>
            <w:pPr>
              <w:adjustRightInd w:val="0"/>
              <w:snapToGrid w:val="0"/>
              <w:ind w:firstLine="420" w:firstLineChars="200"/>
              <w:rPr>
                <w:rFonts w:ascii="仿宋_GB2312"/>
                <w:color w:val="000000"/>
                <w:szCs w:val="21"/>
              </w:rPr>
            </w:pPr>
            <w:r>
              <w:rPr>
                <w:rFonts w:hint="eastAsia" w:ascii="仿宋_GB2312"/>
                <w:color w:val="000000"/>
                <w:szCs w:val="21"/>
              </w:rPr>
              <w:t>各角色（如门诊医生、住院医生、检查技师）确认一名电子病历评级专员，负责评级时向专家进行系统演示。另外每个科室确认一名电子病历评级联络员，负责专家现场查验时系统的演示与解答。</w:t>
            </w:r>
          </w:p>
          <w:p>
            <w:pPr>
              <w:outlineLvl w:val="2"/>
              <w:rPr>
                <w:rFonts w:ascii="Calibri" w:hAnsi="Calibri"/>
                <w:color w:val="000000"/>
                <w:sz w:val="28"/>
                <w:szCs w:val="28"/>
              </w:rPr>
            </w:pPr>
            <w:r>
              <w:rPr>
                <w:rFonts w:hint="eastAsia" w:ascii="Calibri" w:hAnsi="Calibri"/>
                <w:color w:val="000000"/>
                <w:sz w:val="28"/>
                <w:szCs w:val="28"/>
              </w:rPr>
              <w:t>4.2现场查验前的指导</w:t>
            </w:r>
          </w:p>
          <w:p>
            <w:pPr>
              <w:adjustRightInd w:val="0"/>
              <w:snapToGrid w:val="0"/>
              <w:rPr>
                <w:rFonts w:ascii="仿宋_GB2312"/>
                <w:color w:val="000000"/>
                <w:szCs w:val="21"/>
              </w:rPr>
            </w:pPr>
            <w:r>
              <w:rPr>
                <w:rFonts w:hint="eastAsia" w:ascii="仿宋_GB2312"/>
                <w:color w:val="000000"/>
                <w:szCs w:val="21"/>
              </w:rPr>
              <w:t>1在既往现场查验中，工作人员操作不熟练是最多的问题，所以评级小组将对电子病历评级专员进行重点培训，并且练习、考核。</w:t>
            </w:r>
          </w:p>
          <w:p>
            <w:pPr>
              <w:adjustRightInd w:val="0"/>
              <w:snapToGrid w:val="0"/>
              <w:rPr>
                <w:rFonts w:ascii="仿宋_GB2312"/>
                <w:color w:val="000000"/>
                <w:szCs w:val="21"/>
              </w:rPr>
            </w:pPr>
            <w:r>
              <w:rPr>
                <w:rFonts w:hint="eastAsia" w:ascii="仿宋_GB2312"/>
                <w:color w:val="000000"/>
                <w:szCs w:val="21"/>
              </w:rPr>
              <w:t>2因评审专家可能不按医院预先设计的路线现场查验，评级小组将对全院医护进行一次大的培训（门诊医生全员培训，住院医生每科培训一人，专家到现场后进行演示）</w:t>
            </w:r>
          </w:p>
          <w:p>
            <w:pPr>
              <w:adjustRightInd w:val="0"/>
              <w:snapToGrid w:val="0"/>
              <w:rPr>
                <w:rFonts w:ascii="仿宋_GB2312"/>
                <w:color w:val="000000"/>
                <w:szCs w:val="21"/>
              </w:rPr>
            </w:pPr>
            <w:r>
              <w:rPr>
                <w:rFonts w:hint="eastAsia" w:ascii="仿宋_GB2312"/>
                <w:color w:val="000000"/>
                <w:szCs w:val="21"/>
              </w:rPr>
              <w:t>3指导我院人员在演示的环境必须是生产环境，演示时一个角色不能多次登录不同的系统，对某个患者的操作在切换功能时不能重新选择患者。</w:t>
            </w:r>
          </w:p>
          <w:p>
            <w:pPr>
              <w:adjustRightInd w:val="0"/>
              <w:snapToGrid w:val="0"/>
              <w:rPr>
                <w:rFonts w:ascii="仿宋_GB2312"/>
                <w:color w:val="000000"/>
                <w:szCs w:val="21"/>
              </w:rPr>
            </w:pPr>
            <w:r>
              <w:rPr>
                <w:rFonts w:hint="eastAsia" w:ascii="仿宋_GB2312"/>
                <w:color w:val="000000"/>
                <w:szCs w:val="21"/>
              </w:rPr>
              <w:t>4指导我院人员在系统演练恢复的操作记录时恢复时间不能超过两个小时，网络拓扑图要准确，要有异地备份及时间服务器。</w:t>
            </w:r>
          </w:p>
          <w:p>
            <w:pPr>
              <w:adjustRightInd w:val="0"/>
              <w:snapToGrid w:val="0"/>
              <w:rPr>
                <w:rFonts w:ascii="仿宋_GB2312"/>
                <w:color w:val="000000"/>
                <w:szCs w:val="21"/>
              </w:rPr>
            </w:pPr>
            <w:r>
              <w:rPr>
                <w:rFonts w:hint="eastAsia" w:ascii="仿宋_GB2312"/>
                <w:color w:val="000000"/>
                <w:szCs w:val="21"/>
              </w:rPr>
              <w:t>5指导我院人员在演示前应将密码修改，不能是最简单的1之类</w:t>
            </w:r>
          </w:p>
          <w:p>
            <w:pPr>
              <w:widowControl/>
              <w:tabs>
                <w:tab w:val="left" w:pos="720"/>
              </w:tabs>
              <w:spacing w:line="360" w:lineRule="auto"/>
              <w:jc w:val="center"/>
              <w:rPr>
                <w:rFonts w:ascii="微软雅黑" w:hAnsi="微软雅黑" w:eastAsia="微软雅黑" w:cs="微软雅黑"/>
                <w:color w:val="000000"/>
                <w:kern w:val="0"/>
                <w:sz w:val="24"/>
              </w:rPr>
            </w:pPr>
          </w:p>
        </w:tc>
        <w:tc>
          <w:tcPr>
            <w:tcW w:w="1305" w:type="dxa"/>
          </w:tcPr>
          <w:p>
            <w:pPr>
              <w:widowControl/>
              <w:tabs>
                <w:tab w:val="left" w:pos="720"/>
              </w:tabs>
              <w:spacing w:line="360" w:lineRule="auto"/>
              <w:jc w:val="center"/>
              <w:rPr>
                <w:rFonts w:ascii="微软雅黑" w:hAnsi="微软雅黑" w:eastAsia="微软雅黑" w:cs="微软雅黑"/>
                <w:color w:val="000000"/>
                <w:kern w:val="0"/>
                <w:sz w:val="24"/>
              </w:rPr>
            </w:pPr>
          </w:p>
        </w:tc>
      </w:tr>
    </w:tbl>
    <w:p>
      <w:pPr>
        <w:spacing w:line="360" w:lineRule="auto"/>
        <w:rPr>
          <w:rFonts w:ascii="仿宋_GB2312"/>
          <w:color w:val="000000"/>
          <w:szCs w:val="21"/>
        </w:rPr>
      </w:pPr>
    </w:p>
    <w:p>
      <w:pPr>
        <w:adjustRightInd w:val="0"/>
        <w:snapToGrid w:val="0"/>
        <w:ind w:firstLine="422" w:firstLineChars="200"/>
        <w:rPr>
          <w:b/>
          <w:bCs/>
          <w:kern w:val="44"/>
          <w:szCs w:val="21"/>
        </w:rPr>
      </w:pPr>
    </w:p>
    <w:p>
      <w:pPr>
        <w:adjustRightInd w:val="0"/>
        <w:snapToGrid w:val="0"/>
        <w:ind w:firstLine="422" w:firstLineChars="200"/>
        <w:rPr>
          <w:b/>
          <w:bCs/>
          <w:kern w:val="44"/>
          <w:szCs w:val="21"/>
        </w:rPr>
      </w:pPr>
      <w:r>
        <w:rPr>
          <w:b/>
          <w:bCs/>
          <w:kern w:val="44"/>
          <w:szCs w:val="21"/>
        </w:rPr>
        <w:t xml:space="preserve"> 投标人需要提供以下关于</w:t>
      </w:r>
      <w:r>
        <w:rPr>
          <w:rFonts w:hint="eastAsia"/>
          <w:b/>
          <w:bCs/>
          <w:kern w:val="44"/>
          <w:szCs w:val="21"/>
        </w:rPr>
        <w:t>电子病历系统应用水平分级评价项目的相关评价指导服务，投标人可以超过但是不得低于下表内容，可根据电子病历应用评价标准自行制定。</w:t>
      </w:r>
    </w:p>
    <w:p>
      <w:pPr>
        <w:widowControl/>
        <w:tabs>
          <w:tab w:val="left" w:pos="720"/>
        </w:tabs>
        <w:spacing w:line="360" w:lineRule="auto"/>
        <w:ind w:firstLine="360" w:firstLineChars="150"/>
        <w:jc w:val="left"/>
        <w:rPr>
          <w:b/>
          <w:bCs/>
          <w:kern w:val="44"/>
          <w:szCs w:val="21"/>
        </w:rPr>
      </w:pPr>
      <w:r>
        <w:rPr>
          <w:rFonts w:hint="eastAsia" w:ascii="微软雅黑" w:hAnsi="微软雅黑" w:eastAsia="微软雅黑" w:cs="微软雅黑"/>
          <w:color w:val="000000"/>
          <w:kern w:val="0"/>
          <w:sz w:val="24"/>
        </w:rPr>
        <w:t>投标人投标时需提交服务内容偏离表二：</w:t>
      </w:r>
    </w:p>
    <w:tbl>
      <w:tblPr>
        <w:tblStyle w:val="9"/>
        <w:tblW w:w="9144" w:type="dxa"/>
        <w:tblInd w:w="-624" w:type="dxa"/>
        <w:tblLayout w:type="fixed"/>
        <w:tblCellMar>
          <w:top w:w="0" w:type="dxa"/>
          <w:left w:w="108" w:type="dxa"/>
          <w:bottom w:w="0" w:type="dxa"/>
          <w:right w:w="108" w:type="dxa"/>
        </w:tblCellMar>
      </w:tblPr>
      <w:tblGrid>
        <w:gridCol w:w="388"/>
        <w:gridCol w:w="957"/>
        <w:gridCol w:w="896"/>
        <w:gridCol w:w="1187"/>
        <w:gridCol w:w="4413"/>
        <w:gridCol w:w="1303"/>
      </w:tblGrid>
      <w:tr>
        <w:tblPrEx>
          <w:tblLayout w:type="fixed"/>
          <w:tblCellMar>
            <w:top w:w="0" w:type="dxa"/>
            <w:left w:w="108" w:type="dxa"/>
            <w:bottom w:w="0" w:type="dxa"/>
            <w:right w:w="108" w:type="dxa"/>
          </w:tblCellMar>
        </w:tblPrEx>
        <w:trPr>
          <w:trHeight w:val="648" w:hRule="atLeast"/>
        </w:trPr>
        <w:tc>
          <w:tcPr>
            <w:tcW w:w="388"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项目序号</w:t>
            </w:r>
          </w:p>
        </w:tc>
        <w:tc>
          <w:tcPr>
            <w:tcW w:w="957"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工作角色</w:t>
            </w:r>
          </w:p>
        </w:tc>
        <w:tc>
          <w:tcPr>
            <w:tcW w:w="89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评价项目</w:t>
            </w:r>
          </w:p>
        </w:tc>
        <w:tc>
          <w:tcPr>
            <w:tcW w:w="1187"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有效应用评价指标</w:t>
            </w:r>
          </w:p>
        </w:tc>
        <w:tc>
          <w:tcPr>
            <w:tcW w:w="4413"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数据质量评价指标</w:t>
            </w:r>
          </w:p>
        </w:tc>
        <w:tc>
          <w:tcPr>
            <w:tcW w:w="1303"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微软雅黑" w:hAnsi="微软雅黑" w:eastAsia="微软雅黑" w:cs="微软雅黑"/>
                <w:color w:val="000000"/>
                <w:kern w:val="0"/>
                <w:sz w:val="24"/>
              </w:rPr>
              <w:t>是否偏离</w:t>
            </w: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95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一、病房医师</w:t>
            </w: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病房医嘱处理</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按出院病人人次比例计算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按医嘱记录数据中符合一致性、完整性、整合性、及时性要求数据的比例系数计算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病房检验申请</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按住院检验项目人次比例计算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按病房检验申请数据中符合一致性、完整性、整合性、及时性要求数据的比例系数计算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病房检验报告</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按住院检验项目人次比例计算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按病房检验报告数据中符合一致性、完整性、整合性、及时性要求数据的比例系数计算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病房检查申请</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按住院检查项目人次比例计算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按病房检查申请数据中符合一致性、完整性、整合性、及时性的比例系数计算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病房检查报告</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按住院检查项目人次比例计算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按病房检查报告数据中符合一致性、完整性、整合性、及时性要求数据的比例系数计算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病房病历记录</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按出院病人人次比例计算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按病房病历记录数据中符合一致性、完整性、整合性、及时性要求数据的比例系数计算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95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二、病房护士</w:t>
            </w: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病人管理与评估</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按出院病人人次比例计算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按护理评估记录、病人流转管理数据一致性、完整性、整合性、及时性的比例系数计算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医嘱执行</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按医嘱比例计算（包括药品和检验医嘱）</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按医嘱执行记录数据中符合一致性、完整性、整合性、及时性要求数据的比例系数计算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护理记录</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按出院病人人次比例计算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按危重病人护理记录、医嘱执行记录数据中符合一致性、完整性、整合性、及时性要求数据的比例系数计算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95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三、门诊医师</w:t>
            </w: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处方书写</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按门诊处方数计算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按处方记录数据中符合一致性、完整性、整合性、及时性要求数据的比例系数计算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门诊检验申请</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按门诊检验项目人次比例计算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按门诊检验申请数据中符合一致性、完整性、整合性、及时性要求数据的比例系数计算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门诊检验报告</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按门诊检验项目人次比例计算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按门诊检验报告数据中符合一致性、完整性、整合性、及时性要求数据的比例系数计算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门诊检查申请</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按门诊检查项目人次比例计算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按门诊检查申请数据中符合一致性、完整性、整合性、及时性要求数据的比例系数计算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门诊检查报告</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按门诊检查项目人次比例计算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按数门诊检查报告数据中符合一致性、完整性、整合性、及时性要求数据的比例系数计算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门诊病历记录</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按门诊人次数计算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按门诊病历记录数据中符合一致性、完整性、整合性、及时性要求数据的比例系数计算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95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四、检查科室</w:t>
            </w: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申请与预约</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按总检查项目人次比例计算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按检查申请数据中符合一致性、完整性、整合性、及时性要求数据的比例系数计算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检查记录</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按总检查项目人次比例计算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按检查记录数据中符合一致性、完整性、整合性、及时性要求数据的比例系数计算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检查报告</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按总检查项目人次比例计算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按检查报告数据中符合一致性、完整性、整合性、及时性要求数据的比例系数计算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检查图像</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按有图像结果检查项目比例计算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按检查图像数据中符合一致性、完整性、整合性、及时性要求数据的比例系数计算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95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五、检验处理</w:t>
            </w: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标本处理</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按总检验项目人次比例计算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按标本记录数据中符合一致性、完整性、整合性、及时性要求数据的比例系数计算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检验结果记录</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按总检验项目人次比例计算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按检验结果记录数据中符合一致性、完整性、整合性、及时性要求数据的比例系数计算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报告生成</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按总检验项目人次比例计算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按检验报告数据中符合一致性、完整性、整合性、及时性要求数据的比例系数计算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95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六、治疗信息处理</w:t>
            </w: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一般治疗记录</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按治疗项目人次比例计算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按一般治疗记录数据中符合一致性、完整性、整合性、及时性要求数据的比例系数计算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手术预约与登记</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按手术台次比例计算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按手术记录数据中符合一致性、完整性、整合性、及时性要求数据的比例系数计算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麻醉信息</w:t>
            </w:r>
          </w:p>
        </w:tc>
        <w:tc>
          <w:tcPr>
            <w:tcW w:w="1187"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按手术台次比例计算</w:t>
            </w:r>
          </w:p>
        </w:tc>
        <w:tc>
          <w:tcPr>
            <w:tcW w:w="4413" w:type="dxa"/>
            <w:tcBorders>
              <w:top w:val="nil"/>
              <w:left w:val="nil"/>
              <w:bottom w:val="single" w:color="auto" w:sz="4" w:space="0"/>
              <w:right w:val="single" w:color="auto" w:sz="8"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按麻醉记录数据中符合一致性、完整性、整合性、及时性要求数据的比例系数计算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000000" w:fill="FFFFFF"/>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监护数据</w:t>
            </w:r>
          </w:p>
        </w:tc>
        <w:tc>
          <w:tcPr>
            <w:tcW w:w="1187"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按监护人次比例计算</w:t>
            </w:r>
          </w:p>
        </w:tc>
        <w:tc>
          <w:tcPr>
            <w:tcW w:w="4413" w:type="dxa"/>
            <w:tcBorders>
              <w:top w:val="nil"/>
              <w:left w:val="nil"/>
              <w:bottom w:val="single" w:color="auto" w:sz="4" w:space="0"/>
              <w:right w:val="single" w:color="auto" w:sz="8"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按监护记录数据中符合一致性、完整性、整合性、及时性要求数据的比例系数计算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000000" w:fill="FFFFFF"/>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95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七、医疗保障</w:t>
            </w: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血液准备</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按输血人次比例计算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按血液记录数据中符合一致性、完整性、整合性、及时性要求数据的比例系数计算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配血与用血</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按输血人次比例计算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按配血与用血记录数据中符合一致性、完整性、整合性、及时性要求数据的比例系数计算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门诊药品调剂</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按处方数人次比例计算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按门诊药品调剂记录数据中符合一致性、完整性、整合性、及时性要求数据的比例系数计算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病房药品配置</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按出院病人人次比例计算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按病房药品配置记录数据中符合一致性、完整性、整合性、及时性要求数据的比例系数计算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95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八、病历管理</w:t>
            </w: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病历质量控制</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按出院病人人次比例计算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按病历质控记录数据中符合一致性、完整性、整合性、及时性要求数据的比例系数计算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电子病历文档应用</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实现要求的功能</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无</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95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九、电子病历基础</w:t>
            </w: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病历数据存储</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实现要求的功能</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无</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电子认证与签名</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实现要求的功能</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无</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基础设施与安全管控</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实现要求的功能</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无</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w:t>
            </w:r>
          </w:p>
        </w:tc>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系统灾难恢复体系</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实现要求的功能</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无</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w:t>
            </w:r>
          </w:p>
        </w:tc>
        <w:tc>
          <w:tcPr>
            <w:tcW w:w="957" w:type="dxa"/>
            <w:vMerge w:val="restart"/>
            <w:tcBorders>
              <w:top w:val="nil"/>
              <w:left w:val="single" w:color="auto" w:sz="4" w:space="0"/>
              <w:bottom w:val="single" w:color="000000" w:sz="8"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十、信息利用</w:t>
            </w: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临床数据整合</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实现要求的功能</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按整合的临床医疗数据中符合一致性、完整性、整合性、及时性要求数据的比例系数计算</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957"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医疗质量控制</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按电子病历系统中产生卫统报表、三级医院等级评审质量指标、专科质控指标等指定项目的比例情况计算</w:t>
            </w:r>
          </w:p>
        </w:tc>
        <w:tc>
          <w:tcPr>
            <w:tcW w:w="441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无</w:t>
            </w:r>
          </w:p>
        </w:tc>
        <w:tc>
          <w:tcPr>
            <w:tcW w:w="1303"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388"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w:t>
            </w:r>
          </w:p>
        </w:tc>
        <w:tc>
          <w:tcPr>
            <w:tcW w:w="957"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szCs w:val="21"/>
              </w:rPr>
            </w:pPr>
          </w:p>
        </w:tc>
        <w:tc>
          <w:tcPr>
            <w:tcW w:w="896" w:type="dxa"/>
            <w:tcBorders>
              <w:top w:val="nil"/>
              <w:left w:val="nil"/>
              <w:bottom w:val="single" w:color="auto" w:sz="8"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知识获取及管理</w:t>
            </w:r>
          </w:p>
        </w:tc>
        <w:tc>
          <w:tcPr>
            <w:tcW w:w="1187" w:type="dxa"/>
            <w:tcBorders>
              <w:top w:val="nil"/>
              <w:left w:val="nil"/>
              <w:bottom w:val="single" w:color="auto" w:sz="8"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实现要求的功能</w:t>
            </w:r>
          </w:p>
        </w:tc>
        <w:tc>
          <w:tcPr>
            <w:tcW w:w="44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无</w:t>
            </w:r>
          </w:p>
        </w:tc>
        <w:tc>
          <w:tcPr>
            <w:tcW w:w="130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p>
        </w:tc>
      </w:tr>
    </w:tbl>
    <w:p>
      <w:pPr>
        <w:widowControl/>
        <w:jc w:val="left"/>
        <w:rPr>
          <w:rFonts w:ascii="黑体" w:eastAsia="黑体"/>
          <w:color w:val="000000"/>
          <w:szCs w:val="21"/>
        </w:rPr>
        <w:sectPr>
          <w:footerReference r:id="rId5" w:type="first"/>
          <w:headerReference r:id="rId3" w:type="default"/>
          <w:footerReference r:id="rId4" w:type="default"/>
          <w:pgSz w:w="11906" w:h="16838"/>
          <w:pgMar w:top="1440" w:right="1800" w:bottom="1440" w:left="1800" w:header="851" w:footer="992" w:gutter="0"/>
          <w:cols w:space="720" w:num="1"/>
          <w:titlePg/>
          <w:docGrid w:type="lines" w:linePitch="312" w:charSpace="0"/>
        </w:sectPr>
      </w:pPr>
    </w:p>
    <w:p>
      <w:pPr>
        <w:widowControl/>
        <w:tabs>
          <w:tab w:val="left" w:pos="720"/>
        </w:tabs>
        <w:spacing w:line="360" w:lineRule="auto"/>
        <w:ind w:firstLine="360" w:firstLineChars="150"/>
        <w:jc w:val="left"/>
        <w:rPr>
          <w:rFonts w:ascii="微软雅黑" w:hAnsi="微软雅黑" w:eastAsia="微软雅黑" w:cs="微软雅黑"/>
          <w:color w:val="000000"/>
          <w:kern w:val="0"/>
          <w:sz w:val="24"/>
        </w:rPr>
      </w:pPr>
    </w:p>
    <w:p>
      <w:pPr>
        <w:snapToGrid w:val="0"/>
        <w:spacing w:line="480" w:lineRule="exact"/>
        <w:ind w:firstLine="567" w:firstLineChars="236"/>
        <w:rPr>
          <w:rFonts w:ascii="微软雅黑" w:hAnsi="微软雅黑" w:eastAsia="微软雅黑" w:cs="微软雅黑"/>
          <w:b/>
          <w:color w:val="000000"/>
          <w:sz w:val="24"/>
        </w:rPr>
      </w:pPr>
      <w:r>
        <w:rPr>
          <w:rFonts w:hint="eastAsia" w:ascii="微软雅黑" w:hAnsi="微软雅黑" w:eastAsia="微软雅黑" w:cs="微软雅黑"/>
          <w:b/>
          <w:color w:val="000000"/>
          <w:sz w:val="24"/>
        </w:rPr>
        <w:t>1</w:t>
      </w:r>
      <w:r>
        <w:rPr>
          <w:rFonts w:ascii="微软雅黑" w:hAnsi="微软雅黑" w:eastAsia="微软雅黑" w:cs="微软雅黑"/>
          <w:b/>
          <w:color w:val="000000"/>
          <w:sz w:val="24"/>
        </w:rPr>
        <w:t>1</w:t>
      </w:r>
      <w:r>
        <w:rPr>
          <w:rFonts w:hint="eastAsia" w:ascii="微软雅黑" w:hAnsi="微软雅黑" w:eastAsia="微软雅黑" w:cs="微软雅黑"/>
          <w:b/>
          <w:color w:val="000000"/>
          <w:sz w:val="24"/>
        </w:rPr>
        <w:t>.2、其他</w:t>
      </w:r>
    </w:p>
    <w:p>
      <w:pPr>
        <w:widowControl/>
        <w:spacing w:line="360" w:lineRule="auto"/>
        <w:ind w:firstLine="566" w:firstLineChars="236"/>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1</w:t>
      </w:r>
      <w:r>
        <w:rPr>
          <w:rFonts w:ascii="微软雅黑" w:hAnsi="微软雅黑" w:eastAsia="微软雅黑" w:cs="微软雅黑"/>
          <w:color w:val="000000"/>
          <w:sz w:val="24"/>
        </w:rPr>
        <w:t>1</w:t>
      </w:r>
      <w:r>
        <w:rPr>
          <w:rFonts w:hint="eastAsia" w:ascii="微软雅黑" w:hAnsi="微软雅黑" w:eastAsia="微软雅黑" w:cs="微软雅黑"/>
          <w:color w:val="000000"/>
          <w:sz w:val="24"/>
        </w:rPr>
        <w:t>.2.1、本次报价须为人民币报价，包含安装调试、租用、验收、培训、售后服务、等伴随的服务、各种税费等全部费用，投标人应承担一切为完成本次招标全部过程所发生的所有费用和风险责任，因投标人自身原因造成漏报、少报皆由其自身负责。</w:t>
      </w:r>
    </w:p>
    <w:p>
      <w:pPr>
        <w:widowControl/>
        <w:spacing w:line="360" w:lineRule="auto"/>
        <w:ind w:firstLine="566" w:firstLineChars="236"/>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1</w:t>
      </w:r>
      <w:r>
        <w:rPr>
          <w:rFonts w:ascii="微软雅黑" w:hAnsi="微软雅黑" w:eastAsia="微软雅黑" w:cs="微软雅黑"/>
          <w:color w:val="000000"/>
          <w:sz w:val="24"/>
        </w:rPr>
        <w:t>1</w:t>
      </w:r>
      <w:r>
        <w:rPr>
          <w:rFonts w:hint="eastAsia" w:ascii="微软雅黑" w:hAnsi="微软雅黑" w:eastAsia="微软雅黑" w:cs="微软雅黑"/>
          <w:color w:val="000000"/>
          <w:sz w:val="24"/>
        </w:rPr>
        <w:t>.2.2、投标人在合同签订前须提供SSL证书签发机构的有效授权书复印件。</w:t>
      </w:r>
    </w:p>
    <w:p>
      <w:pPr>
        <w:widowControl/>
        <w:spacing w:line="360" w:lineRule="auto"/>
        <w:ind w:firstLine="566" w:firstLineChars="236"/>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1</w:t>
      </w:r>
      <w:r>
        <w:rPr>
          <w:rFonts w:ascii="微软雅黑" w:hAnsi="微软雅黑" w:eastAsia="微软雅黑" w:cs="微软雅黑"/>
          <w:color w:val="000000"/>
          <w:sz w:val="24"/>
        </w:rPr>
        <w:t>1</w:t>
      </w:r>
      <w:r>
        <w:rPr>
          <w:rFonts w:hint="eastAsia" w:ascii="微软雅黑" w:hAnsi="微软雅黑" w:eastAsia="微软雅黑" w:cs="微软雅黑"/>
          <w:color w:val="000000"/>
          <w:sz w:val="24"/>
        </w:rPr>
        <w:t>.2.3、服务期：合同签订到当年官方测评结束时间为准。</w:t>
      </w:r>
    </w:p>
    <w:p>
      <w:pPr>
        <w:widowControl/>
        <w:spacing w:line="360" w:lineRule="auto"/>
        <w:ind w:firstLine="566" w:firstLineChars="236"/>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1</w:t>
      </w:r>
      <w:r>
        <w:rPr>
          <w:rFonts w:ascii="微软雅黑" w:hAnsi="微软雅黑" w:eastAsia="微软雅黑" w:cs="微软雅黑"/>
          <w:color w:val="000000"/>
          <w:sz w:val="24"/>
        </w:rPr>
        <w:t>1</w:t>
      </w:r>
      <w:r>
        <w:rPr>
          <w:rFonts w:hint="eastAsia" w:ascii="微软雅黑" w:hAnsi="微软雅黑" w:eastAsia="微软雅黑" w:cs="微软雅黑"/>
          <w:color w:val="000000"/>
          <w:sz w:val="24"/>
        </w:rPr>
        <w:t>.2.4、验收：由需方根据合同和标书条款对所购服务进行验收。</w:t>
      </w:r>
    </w:p>
    <w:p>
      <w:pPr>
        <w:widowControl/>
        <w:spacing w:line="360" w:lineRule="auto"/>
        <w:ind w:firstLine="566" w:firstLineChars="236"/>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1</w:t>
      </w:r>
      <w:r>
        <w:rPr>
          <w:rFonts w:ascii="微软雅黑" w:hAnsi="微软雅黑" w:eastAsia="微软雅黑" w:cs="微软雅黑"/>
          <w:color w:val="000000"/>
          <w:sz w:val="24"/>
        </w:rPr>
        <w:t>1</w:t>
      </w:r>
      <w:r>
        <w:rPr>
          <w:rFonts w:hint="eastAsia" w:ascii="微软雅黑" w:hAnsi="微软雅黑" w:eastAsia="微软雅黑" w:cs="微软雅黑"/>
          <w:color w:val="000000"/>
          <w:sz w:val="24"/>
        </w:rPr>
        <w:t>.2.5、其他未尽事宜由供需双方在采购合同中详细约定。</w:t>
      </w:r>
    </w:p>
    <w:p>
      <w:pPr>
        <w:spacing w:line="360" w:lineRule="auto"/>
        <w:outlineLvl w:val="0"/>
        <w:rPr>
          <w:rFonts w:ascii="微软雅黑" w:hAnsi="微软雅黑" w:eastAsia="微软雅黑" w:cs="微软雅黑"/>
          <w:b/>
          <w:color w:val="000000"/>
          <w:sz w:val="24"/>
        </w:rPr>
      </w:pPr>
    </w:p>
    <w:p>
      <w:pPr>
        <w:spacing w:line="360" w:lineRule="auto"/>
        <w:outlineLvl w:val="0"/>
        <w:rPr>
          <w:rFonts w:ascii="微软雅黑" w:hAnsi="微软雅黑" w:eastAsia="微软雅黑" w:cs="微软雅黑"/>
          <w:b/>
          <w:color w:val="000000"/>
          <w:sz w:val="24"/>
        </w:rPr>
      </w:pPr>
      <w:r>
        <w:rPr>
          <w:rFonts w:hint="eastAsia" w:ascii="微软雅黑" w:hAnsi="微软雅黑" w:eastAsia="微软雅黑" w:cs="微软雅黑"/>
          <w:b/>
          <w:color w:val="000000"/>
          <w:sz w:val="24"/>
        </w:rPr>
        <w:t>十二、评标办法</w:t>
      </w:r>
    </w:p>
    <w:p>
      <w:pPr>
        <w:snapToGrid w:val="0"/>
        <w:spacing w:line="480" w:lineRule="exact"/>
        <w:ind w:firstLine="567" w:firstLineChars="236"/>
        <w:rPr>
          <w:rFonts w:ascii="微软雅黑" w:hAnsi="微软雅黑" w:eastAsia="微软雅黑" w:cs="微软雅黑"/>
          <w:b/>
          <w:color w:val="000000"/>
          <w:sz w:val="24"/>
        </w:rPr>
      </w:pPr>
      <w:r>
        <w:rPr>
          <w:rFonts w:hint="eastAsia" w:ascii="微软雅黑" w:hAnsi="微软雅黑" w:eastAsia="微软雅黑" w:cs="微软雅黑"/>
          <w:b/>
          <w:color w:val="000000"/>
          <w:sz w:val="24"/>
        </w:rPr>
        <w:t>1</w:t>
      </w:r>
      <w:r>
        <w:rPr>
          <w:rFonts w:ascii="微软雅黑" w:hAnsi="微软雅黑" w:eastAsia="微软雅黑" w:cs="微软雅黑"/>
          <w:b/>
          <w:color w:val="000000"/>
          <w:sz w:val="24"/>
        </w:rPr>
        <w:t>2</w:t>
      </w:r>
      <w:r>
        <w:rPr>
          <w:rFonts w:hint="eastAsia" w:ascii="微软雅黑" w:hAnsi="微软雅黑" w:eastAsia="微软雅黑" w:cs="微软雅黑"/>
          <w:b/>
          <w:color w:val="000000"/>
          <w:sz w:val="24"/>
        </w:rPr>
        <w:t>.1、对投标文件的审查及相应的规定</w:t>
      </w:r>
    </w:p>
    <w:p>
      <w:pPr>
        <w:widowControl/>
        <w:spacing w:line="360" w:lineRule="auto"/>
        <w:ind w:firstLine="566" w:firstLineChars="236"/>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招标人组织开标，开标时，招标方将组织审查投标文件是否完整，是否有计算错误，文件是否恰当地签署。如果单价与总价有出入，以单价为准；若文件大写表示的数据与数字表示的有差别，以大写表示的数据为准。</w:t>
      </w:r>
    </w:p>
    <w:p>
      <w:pPr>
        <w:snapToGrid w:val="0"/>
        <w:spacing w:line="480" w:lineRule="exact"/>
        <w:ind w:firstLine="567" w:firstLineChars="236"/>
        <w:rPr>
          <w:rFonts w:ascii="微软雅黑" w:hAnsi="微软雅黑" w:eastAsia="微软雅黑" w:cs="微软雅黑"/>
          <w:b/>
          <w:color w:val="000000"/>
          <w:sz w:val="24"/>
        </w:rPr>
      </w:pPr>
      <w:r>
        <w:rPr>
          <w:rFonts w:hint="eastAsia" w:ascii="微软雅黑" w:hAnsi="微软雅黑" w:eastAsia="微软雅黑" w:cs="微软雅黑"/>
          <w:b/>
          <w:color w:val="000000"/>
          <w:sz w:val="24"/>
        </w:rPr>
        <w:t>1</w:t>
      </w:r>
      <w:r>
        <w:rPr>
          <w:rFonts w:ascii="微软雅黑" w:hAnsi="微软雅黑" w:eastAsia="微软雅黑" w:cs="微软雅黑"/>
          <w:b/>
          <w:color w:val="000000"/>
          <w:sz w:val="24"/>
        </w:rPr>
        <w:t>2</w:t>
      </w:r>
      <w:r>
        <w:rPr>
          <w:rFonts w:hint="eastAsia" w:ascii="微软雅黑" w:hAnsi="微软雅黑" w:eastAsia="微软雅黑" w:cs="微软雅黑"/>
          <w:b/>
          <w:color w:val="000000"/>
          <w:sz w:val="24"/>
        </w:rPr>
        <w:t>.2、评标方法</w:t>
      </w:r>
    </w:p>
    <w:p>
      <w:pPr>
        <w:widowControl/>
        <w:spacing w:line="360" w:lineRule="auto"/>
        <w:ind w:firstLine="566" w:firstLineChars="236"/>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评标采用最低价评标价法，即投标文件满足本招标书全部实质性要求且投标报价最低的投标人为中标候选人。</w:t>
      </w:r>
    </w:p>
    <w:p>
      <w:pPr>
        <w:snapToGrid w:val="0"/>
        <w:spacing w:line="480" w:lineRule="exact"/>
        <w:ind w:firstLine="567" w:firstLineChars="236"/>
        <w:rPr>
          <w:rFonts w:ascii="微软雅黑" w:hAnsi="微软雅黑" w:eastAsia="微软雅黑" w:cs="微软雅黑"/>
          <w:b/>
          <w:color w:val="000000"/>
          <w:sz w:val="24"/>
        </w:rPr>
      </w:pPr>
      <w:r>
        <w:rPr>
          <w:rFonts w:hint="eastAsia" w:ascii="微软雅黑" w:hAnsi="微软雅黑" w:eastAsia="微软雅黑" w:cs="微软雅黑"/>
          <w:b/>
          <w:color w:val="000000"/>
          <w:sz w:val="24"/>
        </w:rPr>
        <w:t>1</w:t>
      </w:r>
      <w:r>
        <w:rPr>
          <w:rFonts w:ascii="微软雅黑" w:hAnsi="微软雅黑" w:eastAsia="微软雅黑" w:cs="微软雅黑"/>
          <w:b/>
          <w:color w:val="000000"/>
          <w:sz w:val="24"/>
        </w:rPr>
        <w:t>2</w:t>
      </w:r>
      <w:r>
        <w:rPr>
          <w:rFonts w:hint="eastAsia" w:ascii="微软雅黑" w:hAnsi="微软雅黑" w:eastAsia="微软雅黑" w:cs="微软雅黑"/>
          <w:b/>
          <w:color w:val="000000"/>
          <w:sz w:val="24"/>
        </w:rPr>
        <w:t>.3、有下列情形之一的，视为投标人串通投标，其投标无效：</w:t>
      </w:r>
    </w:p>
    <w:p>
      <w:pPr>
        <w:widowControl/>
        <w:spacing w:line="360" w:lineRule="auto"/>
        <w:ind w:firstLine="849" w:firstLineChars="354"/>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1</w:t>
      </w:r>
      <w:r>
        <w:rPr>
          <w:rFonts w:ascii="微软雅黑" w:hAnsi="微软雅黑" w:eastAsia="微软雅黑" w:cs="微软雅黑"/>
          <w:color w:val="000000"/>
          <w:sz w:val="24"/>
        </w:rPr>
        <w:t>2</w:t>
      </w:r>
      <w:r>
        <w:rPr>
          <w:rFonts w:hint="eastAsia" w:ascii="微软雅黑" w:hAnsi="微软雅黑" w:eastAsia="微软雅黑" w:cs="微软雅黑"/>
          <w:color w:val="000000"/>
          <w:sz w:val="24"/>
        </w:rPr>
        <w:t>.3.1、不同投标人的投标文件由同一单位或者个人编制；</w:t>
      </w:r>
    </w:p>
    <w:p>
      <w:pPr>
        <w:widowControl/>
        <w:spacing w:line="360" w:lineRule="auto"/>
        <w:ind w:firstLine="849" w:firstLineChars="354"/>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1</w:t>
      </w:r>
      <w:r>
        <w:rPr>
          <w:rFonts w:ascii="微软雅黑" w:hAnsi="微软雅黑" w:eastAsia="微软雅黑" w:cs="微软雅黑"/>
          <w:color w:val="000000"/>
          <w:sz w:val="24"/>
        </w:rPr>
        <w:t>2</w:t>
      </w:r>
      <w:r>
        <w:rPr>
          <w:rFonts w:hint="eastAsia" w:ascii="微软雅黑" w:hAnsi="微软雅黑" w:eastAsia="微软雅黑" w:cs="微软雅黑"/>
          <w:color w:val="000000"/>
          <w:sz w:val="24"/>
        </w:rPr>
        <w:t>.3.2、不同投标人委托同一单位或者个人办理投标事宜；</w:t>
      </w:r>
    </w:p>
    <w:p>
      <w:pPr>
        <w:widowControl/>
        <w:spacing w:line="360" w:lineRule="auto"/>
        <w:ind w:firstLine="849" w:firstLineChars="354"/>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1</w:t>
      </w:r>
      <w:r>
        <w:rPr>
          <w:rFonts w:ascii="微软雅黑" w:hAnsi="微软雅黑" w:eastAsia="微软雅黑" w:cs="微软雅黑"/>
          <w:color w:val="000000"/>
          <w:sz w:val="24"/>
        </w:rPr>
        <w:t>2</w:t>
      </w:r>
      <w:r>
        <w:rPr>
          <w:rFonts w:hint="eastAsia" w:ascii="微软雅黑" w:hAnsi="微软雅黑" w:eastAsia="微软雅黑" w:cs="微软雅黑"/>
          <w:color w:val="000000"/>
          <w:sz w:val="24"/>
        </w:rPr>
        <w:t>.3.3、不同投标人的投标文件载明的项目管理成员或者联系人员为同一人；</w:t>
      </w:r>
    </w:p>
    <w:p>
      <w:pPr>
        <w:widowControl/>
        <w:spacing w:line="360" w:lineRule="auto"/>
        <w:ind w:firstLine="849" w:firstLineChars="354"/>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1</w:t>
      </w:r>
      <w:r>
        <w:rPr>
          <w:rFonts w:ascii="微软雅黑" w:hAnsi="微软雅黑" w:eastAsia="微软雅黑" w:cs="微软雅黑"/>
          <w:color w:val="000000"/>
          <w:sz w:val="24"/>
        </w:rPr>
        <w:t>2</w:t>
      </w:r>
      <w:r>
        <w:rPr>
          <w:rFonts w:hint="eastAsia" w:ascii="微软雅黑" w:hAnsi="微软雅黑" w:eastAsia="微软雅黑" w:cs="微软雅黑"/>
          <w:color w:val="000000"/>
          <w:sz w:val="24"/>
        </w:rPr>
        <w:t>.3.4、不同投标人的投标文件异常一致或者投标报价呈规律性差异；</w:t>
      </w:r>
    </w:p>
    <w:p>
      <w:pPr>
        <w:widowControl/>
        <w:spacing w:line="360" w:lineRule="auto"/>
        <w:ind w:firstLine="849" w:firstLineChars="354"/>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1</w:t>
      </w:r>
      <w:r>
        <w:rPr>
          <w:rFonts w:ascii="微软雅黑" w:hAnsi="微软雅黑" w:eastAsia="微软雅黑" w:cs="微软雅黑"/>
          <w:color w:val="000000"/>
          <w:sz w:val="24"/>
        </w:rPr>
        <w:t>2</w:t>
      </w:r>
      <w:r>
        <w:rPr>
          <w:rFonts w:hint="eastAsia" w:ascii="微软雅黑" w:hAnsi="微软雅黑" w:eastAsia="微软雅黑" w:cs="微软雅黑"/>
          <w:color w:val="000000"/>
          <w:sz w:val="24"/>
        </w:rPr>
        <w:t>.3.5、不同投标人的投标文件相互混装；</w:t>
      </w:r>
    </w:p>
    <w:p>
      <w:pPr>
        <w:widowControl/>
        <w:spacing w:line="360" w:lineRule="auto"/>
        <w:ind w:firstLine="849" w:firstLineChars="354"/>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1</w:t>
      </w:r>
      <w:r>
        <w:rPr>
          <w:rFonts w:ascii="微软雅黑" w:hAnsi="微软雅黑" w:eastAsia="微软雅黑" w:cs="微软雅黑"/>
          <w:color w:val="000000"/>
          <w:sz w:val="24"/>
        </w:rPr>
        <w:t>2</w:t>
      </w:r>
      <w:r>
        <w:rPr>
          <w:rFonts w:hint="eastAsia" w:ascii="微软雅黑" w:hAnsi="微软雅黑" w:eastAsia="微软雅黑" w:cs="微软雅黑"/>
          <w:color w:val="000000"/>
          <w:sz w:val="24"/>
        </w:rPr>
        <w:t>.3.6、不同投标人的投标保证金从同一单位或者个人的账户转出。</w:t>
      </w:r>
    </w:p>
    <w:p>
      <w:pPr>
        <w:snapToGrid w:val="0"/>
        <w:spacing w:line="480" w:lineRule="exact"/>
        <w:ind w:firstLine="567" w:firstLineChars="236"/>
        <w:rPr>
          <w:rFonts w:ascii="微软雅黑" w:hAnsi="微软雅黑" w:eastAsia="微软雅黑" w:cs="微软雅黑"/>
          <w:b/>
          <w:color w:val="000000"/>
          <w:sz w:val="24"/>
        </w:rPr>
      </w:pPr>
      <w:r>
        <w:rPr>
          <w:rFonts w:hint="eastAsia" w:ascii="微软雅黑" w:hAnsi="微软雅黑" w:eastAsia="微软雅黑" w:cs="微软雅黑"/>
          <w:b/>
          <w:color w:val="000000"/>
          <w:sz w:val="24"/>
        </w:rPr>
        <w:t>1</w:t>
      </w:r>
      <w:r>
        <w:rPr>
          <w:rFonts w:ascii="微软雅黑" w:hAnsi="微软雅黑" w:eastAsia="微软雅黑" w:cs="微软雅黑"/>
          <w:b/>
          <w:color w:val="000000"/>
          <w:sz w:val="24"/>
        </w:rPr>
        <w:t>2</w:t>
      </w:r>
      <w:r>
        <w:rPr>
          <w:rFonts w:hint="eastAsia" w:ascii="微软雅黑" w:hAnsi="微软雅黑" w:eastAsia="微软雅黑" w:cs="微软雅黑"/>
          <w:b/>
          <w:color w:val="000000"/>
          <w:sz w:val="24"/>
        </w:rPr>
        <w:t>.4、其他注意事项</w:t>
      </w:r>
    </w:p>
    <w:p>
      <w:pPr>
        <w:widowControl/>
        <w:spacing w:line="360" w:lineRule="auto"/>
        <w:ind w:firstLine="849" w:firstLineChars="354"/>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1</w:t>
      </w:r>
      <w:r>
        <w:rPr>
          <w:rFonts w:ascii="微软雅黑" w:hAnsi="微软雅黑" w:eastAsia="微软雅黑" w:cs="微软雅黑"/>
          <w:color w:val="000000"/>
          <w:sz w:val="24"/>
        </w:rPr>
        <w:t>2</w:t>
      </w:r>
      <w:r>
        <w:rPr>
          <w:rFonts w:hint="eastAsia" w:ascii="微软雅黑" w:hAnsi="微软雅黑" w:eastAsia="微软雅黑" w:cs="微软雅黑"/>
          <w:color w:val="000000"/>
          <w:sz w:val="24"/>
        </w:rPr>
        <w:t>.4.1、招标方不向未中标方解释未中标原因，不退还投标文件。</w:t>
      </w:r>
    </w:p>
    <w:p>
      <w:pPr>
        <w:widowControl/>
        <w:spacing w:line="360" w:lineRule="auto"/>
        <w:ind w:firstLine="849" w:firstLineChars="354"/>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1</w:t>
      </w:r>
      <w:r>
        <w:rPr>
          <w:rFonts w:ascii="微软雅黑" w:hAnsi="微软雅黑" w:eastAsia="微软雅黑" w:cs="微软雅黑"/>
          <w:color w:val="000000"/>
          <w:sz w:val="24"/>
        </w:rPr>
        <w:t>2</w:t>
      </w:r>
      <w:r>
        <w:rPr>
          <w:rFonts w:hint="eastAsia" w:ascii="微软雅黑" w:hAnsi="微软雅黑" w:eastAsia="微软雅黑" w:cs="微软雅黑"/>
          <w:color w:val="000000"/>
          <w:sz w:val="24"/>
        </w:rPr>
        <w:t>.4.2、若出现少于三家投标方进行投标的或有效投标不足三家的，可以采取竞争性谈判方式采购。</w:t>
      </w:r>
    </w:p>
    <w:p>
      <w:pPr>
        <w:widowControl/>
        <w:spacing w:line="360" w:lineRule="auto"/>
        <w:ind w:firstLine="849" w:firstLineChars="354"/>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1</w:t>
      </w:r>
      <w:r>
        <w:rPr>
          <w:rFonts w:ascii="微软雅黑" w:hAnsi="微软雅黑" w:eastAsia="微软雅黑" w:cs="微软雅黑"/>
          <w:color w:val="000000"/>
          <w:sz w:val="24"/>
        </w:rPr>
        <w:t>2</w:t>
      </w:r>
      <w:r>
        <w:rPr>
          <w:rFonts w:hint="eastAsia" w:ascii="微软雅黑" w:hAnsi="微软雅黑" w:eastAsia="微软雅黑" w:cs="微软雅黑"/>
          <w:color w:val="000000"/>
          <w:sz w:val="24"/>
        </w:rPr>
        <w:t>.4.3、投标方应承担所有与准备和参加投标有关的费用，不论投标的结果如何，招标方均无义务和责任承担相关费用。</w:t>
      </w:r>
    </w:p>
    <w:p>
      <w:pPr>
        <w:pStyle w:val="11"/>
        <w:ind w:firstLine="849" w:firstLineChars="354"/>
        <w:rPr>
          <w:rFonts w:ascii="微软雅黑" w:hAnsi="微软雅黑" w:eastAsia="微软雅黑" w:cs="微软雅黑"/>
          <w:b/>
          <w:color w:val="000000"/>
          <w:sz w:val="24"/>
          <w:szCs w:val="24"/>
        </w:rPr>
      </w:pPr>
      <w:r>
        <w:rPr>
          <w:rFonts w:hint="eastAsia" w:ascii="微软雅黑" w:hAnsi="微软雅黑" w:eastAsia="微软雅黑" w:cs="微软雅黑"/>
          <w:color w:val="000000"/>
          <w:sz w:val="24"/>
          <w:szCs w:val="24"/>
        </w:rPr>
        <w:t>1</w:t>
      </w:r>
      <w:r>
        <w:rPr>
          <w:rFonts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.4.4、投标人不遵守《中华人民共和国招标投标法》、《中华人民共和国招标投标法实施条例》、《政府采购货物和服务招投标管理办法》有关规定，或有串通投标、弄虚作假行为的，其投标一律无效。</w:t>
      </w:r>
    </w:p>
    <w:p>
      <w:pPr>
        <w:pStyle w:val="12"/>
        <w:rPr>
          <w:rFonts w:ascii="微软雅黑" w:hAnsi="微软雅黑" w:eastAsia="微软雅黑" w:cs="微软雅黑"/>
          <w:b/>
          <w:bCs/>
          <w:color w:val="000000"/>
          <w:sz w:val="24"/>
        </w:rPr>
      </w:pPr>
      <w:r>
        <w:rPr>
          <w:rFonts w:hint="eastAsia" w:ascii="微软雅黑" w:hAnsi="微软雅黑" w:eastAsia="微软雅黑" w:cs="微软雅黑"/>
          <w:b/>
          <w:color w:val="000000"/>
          <w:sz w:val="24"/>
          <w:szCs w:val="24"/>
        </w:rPr>
        <w:br w:type="page"/>
      </w:r>
      <w:r>
        <w:rPr>
          <w:rFonts w:hint="eastAsia" w:ascii="微软雅黑" w:hAnsi="微软雅黑" w:eastAsia="微软雅黑" w:cs="微软雅黑"/>
          <w:b/>
          <w:color w:val="000000"/>
          <w:sz w:val="24"/>
        </w:rPr>
        <w:t>附件1：投标文件格式</w:t>
      </w:r>
    </w:p>
    <w:p>
      <w:pPr>
        <w:spacing w:line="500" w:lineRule="exact"/>
        <w:jc w:val="center"/>
        <w:rPr>
          <w:rFonts w:ascii="微软雅黑" w:hAnsi="微软雅黑" w:eastAsia="微软雅黑" w:cs="微软雅黑"/>
          <w:b/>
          <w:bCs/>
          <w:color w:val="000000"/>
          <w:sz w:val="24"/>
        </w:rPr>
      </w:pPr>
    </w:p>
    <w:p>
      <w:pPr>
        <w:spacing w:line="500" w:lineRule="exact"/>
        <w:jc w:val="center"/>
        <w:rPr>
          <w:rFonts w:ascii="微软雅黑" w:hAnsi="微软雅黑" w:eastAsia="微软雅黑" w:cs="微软雅黑"/>
          <w:b/>
          <w:bCs/>
          <w:color w:val="000000"/>
          <w:sz w:val="24"/>
        </w:rPr>
      </w:pPr>
    </w:p>
    <w:p>
      <w:pPr>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（封面）</w:t>
      </w:r>
    </w:p>
    <w:p>
      <w:pPr>
        <w:spacing w:line="800" w:lineRule="exact"/>
        <w:jc w:val="center"/>
        <w:rPr>
          <w:rFonts w:ascii="微软雅黑" w:hAnsi="微软雅黑" w:eastAsia="微软雅黑" w:cs="微软雅黑"/>
          <w:color w:val="000000"/>
          <w:sz w:val="24"/>
        </w:rPr>
      </w:pPr>
    </w:p>
    <w:p>
      <w:pPr>
        <w:spacing w:line="800" w:lineRule="exact"/>
        <w:jc w:val="center"/>
        <w:rPr>
          <w:rFonts w:ascii="微软雅黑" w:hAnsi="微软雅黑" w:eastAsia="微软雅黑" w:cs="微软雅黑"/>
          <w:color w:val="000000"/>
          <w:sz w:val="24"/>
        </w:rPr>
      </w:pPr>
    </w:p>
    <w:p>
      <w:pPr>
        <w:spacing w:line="800" w:lineRule="exact"/>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采购项目</w:t>
      </w:r>
    </w:p>
    <w:p>
      <w:pPr>
        <w:spacing w:line="800" w:lineRule="exact"/>
        <w:jc w:val="center"/>
        <w:rPr>
          <w:rFonts w:ascii="微软雅黑" w:hAnsi="微软雅黑" w:eastAsia="微软雅黑" w:cs="微软雅黑"/>
          <w:b/>
          <w:color w:val="000000"/>
          <w:sz w:val="24"/>
        </w:rPr>
      </w:pPr>
    </w:p>
    <w:p>
      <w:pPr>
        <w:spacing w:line="800" w:lineRule="exact"/>
        <w:jc w:val="center"/>
        <w:rPr>
          <w:rFonts w:ascii="微软雅黑" w:hAnsi="微软雅黑" w:eastAsia="微软雅黑" w:cs="微软雅黑"/>
          <w:b/>
          <w:color w:val="000000"/>
          <w:sz w:val="24"/>
        </w:rPr>
      </w:pPr>
      <w:r>
        <w:rPr>
          <w:rFonts w:hint="eastAsia" w:ascii="微软雅黑" w:hAnsi="微软雅黑" w:eastAsia="微软雅黑" w:cs="微软雅黑"/>
          <w:b/>
          <w:color w:val="000000"/>
          <w:sz w:val="24"/>
        </w:rPr>
        <w:t>投 标 文 件</w:t>
      </w:r>
    </w:p>
    <w:p>
      <w:pPr>
        <w:spacing w:line="800" w:lineRule="exact"/>
        <w:rPr>
          <w:rFonts w:ascii="微软雅黑" w:hAnsi="微软雅黑" w:eastAsia="微软雅黑" w:cs="微软雅黑"/>
          <w:color w:val="000000"/>
          <w:sz w:val="24"/>
        </w:rPr>
      </w:pPr>
    </w:p>
    <w:p>
      <w:pPr>
        <w:spacing w:line="800" w:lineRule="exact"/>
        <w:ind w:firstLine="1680" w:firstLineChars="700"/>
        <w:rPr>
          <w:rFonts w:ascii="微软雅黑" w:hAnsi="微软雅黑" w:eastAsia="微软雅黑" w:cs="微软雅黑"/>
          <w:color w:val="000000"/>
          <w:sz w:val="24"/>
          <w:u w:val="single"/>
        </w:rPr>
      </w:pPr>
      <w:r>
        <w:rPr>
          <w:rFonts w:hint="eastAsia" w:ascii="微软雅黑" w:hAnsi="微软雅黑" w:eastAsia="微软雅黑" w:cs="微软雅黑"/>
          <w:color w:val="000000"/>
          <w:sz w:val="24"/>
        </w:rPr>
        <w:t xml:space="preserve">     项目编号：</w:t>
      </w:r>
    </w:p>
    <w:p>
      <w:pPr>
        <w:spacing w:line="800" w:lineRule="exact"/>
        <w:rPr>
          <w:rFonts w:ascii="微软雅黑" w:hAnsi="微软雅黑" w:eastAsia="微软雅黑" w:cs="微软雅黑"/>
          <w:color w:val="000000"/>
          <w:sz w:val="24"/>
        </w:rPr>
      </w:pPr>
    </w:p>
    <w:p>
      <w:pPr>
        <w:spacing w:line="800" w:lineRule="exact"/>
        <w:rPr>
          <w:rFonts w:ascii="微软雅黑" w:hAnsi="微软雅黑" w:eastAsia="微软雅黑" w:cs="微软雅黑"/>
          <w:color w:val="000000"/>
          <w:sz w:val="24"/>
        </w:rPr>
      </w:pPr>
    </w:p>
    <w:p>
      <w:pPr>
        <w:spacing w:line="800" w:lineRule="exact"/>
        <w:ind w:firstLine="480" w:firstLineChars="200"/>
        <w:jc w:val="left"/>
        <w:rPr>
          <w:rFonts w:ascii="微软雅黑" w:hAnsi="微软雅黑" w:eastAsia="微软雅黑" w:cs="微软雅黑"/>
          <w:b/>
          <w:color w:val="000000"/>
          <w:sz w:val="24"/>
          <w:u w:val="single"/>
        </w:rPr>
      </w:pPr>
      <w:r>
        <w:rPr>
          <w:rFonts w:hint="eastAsia" w:ascii="微软雅黑" w:hAnsi="微软雅黑" w:eastAsia="微软雅黑" w:cs="微软雅黑"/>
          <w:color w:val="000000"/>
          <w:sz w:val="24"/>
        </w:rPr>
        <w:t>投标人：</w:t>
      </w:r>
      <w:r>
        <w:rPr>
          <w:rFonts w:hint="eastAsia" w:ascii="微软雅黑" w:hAnsi="微软雅黑" w:eastAsia="微软雅黑" w:cs="微软雅黑"/>
          <w:color w:val="000000"/>
          <w:sz w:val="24"/>
          <w:u w:val="single"/>
        </w:rPr>
        <w:t xml:space="preserve">                                        (盖章)      </w:t>
      </w:r>
    </w:p>
    <w:p>
      <w:pPr>
        <w:spacing w:line="800" w:lineRule="exact"/>
        <w:ind w:firstLine="480" w:firstLineChars="200"/>
        <w:jc w:val="left"/>
        <w:rPr>
          <w:rFonts w:ascii="微软雅黑" w:hAnsi="微软雅黑" w:eastAsia="微软雅黑" w:cs="微软雅黑"/>
          <w:color w:val="000000"/>
          <w:sz w:val="24"/>
          <w:u w:val="single"/>
        </w:rPr>
      </w:pPr>
      <w:r>
        <w:rPr>
          <w:rFonts w:hint="eastAsia" w:ascii="微软雅黑" w:hAnsi="微软雅黑" w:eastAsia="微软雅黑" w:cs="微软雅黑"/>
          <w:color w:val="000000"/>
          <w:sz w:val="24"/>
        </w:rPr>
        <w:t>法定代表人或其委托代理人：</w:t>
      </w:r>
      <w:r>
        <w:rPr>
          <w:rFonts w:hint="eastAsia" w:ascii="微软雅黑" w:hAnsi="微软雅黑" w:eastAsia="微软雅黑" w:cs="微软雅黑"/>
          <w:color w:val="000000"/>
          <w:sz w:val="24"/>
          <w:u w:val="single"/>
        </w:rPr>
        <w:t xml:space="preserve">         (签字或盖章)            </w:t>
      </w:r>
    </w:p>
    <w:p>
      <w:pPr>
        <w:spacing w:line="800" w:lineRule="exact"/>
        <w:ind w:firstLine="480" w:firstLineChars="200"/>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日期：                 年         月               日</w:t>
      </w:r>
    </w:p>
    <w:p>
      <w:pPr>
        <w:spacing w:line="360" w:lineRule="auto"/>
        <w:rPr>
          <w:rFonts w:ascii="微软雅黑" w:hAnsi="微软雅黑" w:eastAsia="微软雅黑" w:cs="微软雅黑"/>
          <w:b/>
          <w:color w:val="000000"/>
          <w:sz w:val="24"/>
        </w:rPr>
      </w:pPr>
    </w:p>
    <w:p>
      <w:pPr>
        <w:spacing w:line="360" w:lineRule="auto"/>
        <w:rPr>
          <w:rFonts w:ascii="微软雅黑" w:hAnsi="微软雅黑" w:eastAsia="微软雅黑" w:cs="微软雅黑"/>
          <w:b/>
          <w:color w:val="000000"/>
          <w:sz w:val="24"/>
        </w:rPr>
      </w:pPr>
    </w:p>
    <w:p>
      <w:pPr>
        <w:spacing w:line="360" w:lineRule="auto"/>
        <w:rPr>
          <w:rFonts w:ascii="微软雅黑" w:hAnsi="微软雅黑" w:eastAsia="微软雅黑" w:cs="微软雅黑"/>
          <w:b/>
          <w:color w:val="000000"/>
          <w:sz w:val="24"/>
        </w:rPr>
      </w:pPr>
      <w:r>
        <w:rPr>
          <w:rFonts w:hint="eastAsia" w:ascii="微软雅黑" w:hAnsi="微软雅黑" w:eastAsia="微软雅黑" w:cs="微软雅黑"/>
          <w:b/>
          <w:color w:val="000000"/>
          <w:sz w:val="24"/>
        </w:rPr>
        <w:br w:type="page"/>
      </w:r>
      <w:r>
        <w:rPr>
          <w:rFonts w:hint="eastAsia" w:ascii="微软雅黑" w:hAnsi="微软雅黑" w:eastAsia="微软雅黑" w:cs="微软雅黑"/>
          <w:b/>
          <w:color w:val="000000"/>
          <w:sz w:val="24"/>
        </w:rPr>
        <w:t>一、投标声明</w:t>
      </w:r>
    </w:p>
    <w:p>
      <w:pPr>
        <w:spacing w:line="360" w:lineRule="auto"/>
        <w:rPr>
          <w:rFonts w:ascii="微软雅黑" w:hAnsi="微软雅黑" w:eastAsia="微软雅黑" w:cs="微软雅黑"/>
          <w:color w:val="000000"/>
          <w:sz w:val="24"/>
        </w:rPr>
      </w:pPr>
      <w:r>
        <w:rPr>
          <w:rFonts w:hint="eastAsia" w:ascii="微软雅黑" w:hAnsi="微软雅黑" w:eastAsia="微软雅黑" w:cs="微软雅黑"/>
          <w:color w:val="000000"/>
          <w:sz w:val="24"/>
        </w:rPr>
        <w:t>蚌埠市中医医院：</w:t>
      </w:r>
    </w:p>
    <w:p>
      <w:pPr>
        <w:autoSpaceDE w:val="0"/>
        <w:autoSpaceDN w:val="0"/>
        <w:adjustRightInd w:val="0"/>
        <w:spacing w:line="360" w:lineRule="auto"/>
        <w:rPr>
          <w:rFonts w:ascii="微软雅黑" w:hAnsi="微软雅黑" w:eastAsia="微软雅黑" w:cs="微软雅黑"/>
          <w:color w:val="000000"/>
          <w:sz w:val="24"/>
        </w:rPr>
      </w:pPr>
      <w:r>
        <w:rPr>
          <w:rFonts w:hint="eastAsia" w:ascii="微软雅黑" w:hAnsi="微软雅黑" w:eastAsia="微软雅黑" w:cs="微软雅黑"/>
          <w:color w:val="000000"/>
          <w:sz w:val="24"/>
        </w:rPr>
        <w:t xml:space="preserve">     (投标单位全称)授权    (姓名)    (职务)为全权代表，参加你院电子病历应用评级服务采购项目招标的有关活动，并宣布同意如下：</w:t>
      </w:r>
    </w:p>
    <w:p>
      <w:pPr>
        <w:spacing w:line="360" w:lineRule="auto"/>
        <w:rPr>
          <w:rFonts w:ascii="微软雅黑" w:hAnsi="微软雅黑" w:eastAsia="微软雅黑" w:cs="微软雅黑"/>
          <w:color w:val="000000"/>
          <w:sz w:val="24"/>
        </w:rPr>
      </w:pPr>
      <w:r>
        <w:rPr>
          <w:rFonts w:hint="eastAsia" w:ascii="微软雅黑" w:hAnsi="微软雅黑" w:eastAsia="微软雅黑" w:cs="微软雅黑"/>
          <w:color w:val="000000"/>
          <w:sz w:val="24"/>
        </w:rPr>
        <w:t xml:space="preserve">    1.我方愿意按照招标文件的全部要求进行投标(投标内容及价格以投标文件为准)；</w:t>
      </w:r>
    </w:p>
    <w:p>
      <w:pPr>
        <w:spacing w:line="360" w:lineRule="auto"/>
        <w:rPr>
          <w:rFonts w:ascii="微软雅黑" w:hAnsi="微软雅黑" w:eastAsia="微软雅黑" w:cs="微软雅黑"/>
          <w:color w:val="000000"/>
          <w:sz w:val="24"/>
        </w:rPr>
      </w:pPr>
      <w:r>
        <w:rPr>
          <w:rFonts w:hint="eastAsia" w:ascii="微软雅黑" w:hAnsi="微软雅黑" w:eastAsia="微软雅黑" w:cs="微软雅黑"/>
          <w:color w:val="000000"/>
          <w:sz w:val="24"/>
        </w:rPr>
        <w:t xml:space="preserve">    2.我方将按招标文件的规定履行合同责任和义务；</w:t>
      </w:r>
    </w:p>
    <w:p>
      <w:pPr>
        <w:spacing w:line="360" w:lineRule="auto"/>
        <w:rPr>
          <w:rFonts w:ascii="微软雅黑" w:hAnsi="微软雅黑" w:eastAsia="微软雅黑" w:cs="微软雅黑"/>
          <w:color w:val="000000"/>
          <w:sz w:val="24"/>
        </w:rPr>
      </w:pPr>
      <w:r>
        <w:rPr>
          <w:rFonts w:hint="eastAsia" w:ascii="微软雅黑" w:hAnsi="微软雅黑" w:eastAsia="微软雅黑" w:cs="微软雅黑"/>
          <w:color w:val="000000"/>
          <w:sz w:val="24"/>
        </w:rPr>
        <w:t xml:space="preserve">    3.如果我方在投标有效期内撤回投标，投标保证金将被贵方没收；</w:t>
      </w:r>
    </w:p>
    <w:p>
      <w:pPr>
        <w:spacing w:line="360" w:lineRule="auto"/>
        <w:ind w:firstLine="480" w:firstLineChars="200"/>
        <w:rPr>
          <w:rFonts w:ascii="微软雅黑" w:hAnsi="微软雅黑" w:eastAsia="微软雅黑" w:cs="微软雅黑"/>
          <w:color w:val="000000"/>
          <w:sz w:val="24"/>
        </w:rPr>
      </w:pPr>
      <w:r>
        <w:rPr>
          <w:rFonts w:hint="eastAsia" w:ascii="微软雅黑" w:hAnsi="微软雅黑" w:eastAsia="微软雅黑" w:cs="微软雅黑"/>
          <w:color w:val="000000"/>
          <w:sz w:val="24"/>
        </w:rPr>
        <w:t>4.我方同意提供按照贵方要求的与其投标有关的一切数据或资料，理解贵方选择的评标方法；</w:t>
      </w:r>
    </w:p>
    <w:p>
      <w:pPr>
        <w:spacing w:line="360" w:lineRule="auto"/>
        <w:ind w:firstLine="480" w:firstLineChars="200"/>
        <w:rPr>
          <w:rFonts w:ascii="微软雅黑" w:hAnsi="微软雅黑" w:eastAsia="微软雅黑" w:cs="微软雅黑"/>
          <w:color w:val="000000"/>
          <w:sz w:val="24"/>
        </w:rPr>
      </w:pPr>
      <w:r>
        <w:rPr>
          <w:rFonts w:hint="eastAsia" w:ascii="微软雅黑" w:hAnsi="微软雅黑" w:eastAsia="微软雅黑" w:cs="微软雅黑"/>
          <w:color w:val="000000"/>
          <w:sz w:val="24"/>
        </w:rPr>
        <w:t>5.与本投标有关的一切正式往来请上门递交材料：</w:t>
      </w:r>
    </w:p>
    <w:p>
      <w:pPr>
        <w:spacing w:line="360" w:lineRule="auto"/>
        <w:rPr>
          <w:rFonts w:ascii="微软雅黑" w:hAnsi="微软雅黑" w:eastAsia="微软雅黑" w:cs="微软雅黑"/>
          <w:color w:val="000000"/>
          <w:sz w:val="24"/>
        </w:rPr>
      </w:pPr>
      <w:r>
        <w:rPr>
          <w:rFonts w:hint="eastAsia" w:ascii="微软雅黑" w:hAnsi="微软雅黑" w:eastAsia="微软雅黑" w:cs="微软雅黑"/>
          <w:color w:val="000000"/>
          <w:sz w:val="24"/>
        </w:rPr>
        <w:t xml:space="preserve">    地址：                                       邮编：</w:t>
      </w:r>
    </w:p>
    <w:p>
      <w:pPr>
        <w:spacing w:line="360" w:lineRule="auto"/>
        <w:rPr>
          <w:rFonts w:ascii="微软雅黑" w:hAnsi="微软雅黑" w:eastAsia="微软雅黑" w:cs="微软雅黑"/>
          <w:color w:val="000000"/>
          <w:sz w:val="24"/>
        </w:rPr>
      </w:pPr>
      <w:r>
        <w:rPr>
          <w:rFonts w:hint="eastAsia" w:ascii="微软雅黑" w:hAnsi="微软雅黑" w:eastAsia="微软雅黑" w:cs="微软雅黑"/>
          <w:color w:val="000000"/>
          <w:sz w:val="24"/>
        </w:rPr>
        <w:t xml:space="preserve">    电话：                                       传真：</w:t>
      </w:r>
    </w:p>
    <w:p>
      <w:pPr>
        <w:spacing w:line="360" w:lineRule="auto"/>
        <w:rPr>
          <w:rFonts w:ascii="微软雅黑" w:hAnsi="微软雅黑" w:eastAsia="微软雅黑" w:cs="微软雅黑"/>
          <w:color w:val="000000"/>
          <w:sz w:val="24"/>
        </w:rPr>
      </w:pPr>
      <w:r>
        <w:rPr>
          <w:rFonts w:hint="eastAsia" w:ascii="微软雅黑" w:hAnsi="微软雅黑" w:eastAsia="微软雅黑" w:cs="微软雅黑"/>
          <w:color w:val="000000"/>
          <w:sz w:val="24"/>
        </w:rPr>
        <w:t xml:space="preserve">    投标方代表姓名、职务：</w:t>
      </w:r>
    </w:p>
    <w:p>
      <w:pPr>
        <w:spacing w:line="360" w:lineRule="auto"/>
        <w:ind w:left="4560" w:hanging="4560" w:hangingChars="1900"/>
        <w:rPr>
          <w:rFonts w:ascii="微软雅黑" w:hAnsi="微软雅黑" w:eastAsia="微软雅黑" w:cs="微软雅黑"/>
          <w:color w:val="000000"/>
          <w:sz w:val="24"/>
        </w:rPr>
      </w:pPr>
      <w:r>
        <w:rPr>
          <w:rFonts w:hint="eastAsia" w:ascii="微软雅黑" w:hAnsi="微软雅黑" w:eastAsia="微软雅黑" w:cs="微软雅黑"/>
          <w:color w:val="000000"/>
          <w:sz w:val="24"/>
        </w:rPr>
        <w:t xml:space="preserve">                                 投标单位名称(加盖单位公章)                                    </w:t>
      </w:r>
    </w:p>
    <w:p>
      <w:pPr>
        <w:spacing w:line="360" w:lineRule="auto"/>
        <w:ind w:firstLine="4080" w:firstLineChars="1700"/>
        <w:rPr>
          <w:rFonts w:ascii="微软雅黑" w:hAnsi="微软雅黑" w:eastAsia="微软雅黑" w:cs="微软雅黑"/>
          <w:color w:val="000000"/>
          <w:sz w:val="24"/>
        </w:rPr>
      </w:pPr>
      <w:r>
        <w:rPr>
          <w:rFonts w:hint="eastAsia" w:ascii="微软雅黑" w:hAnsi="微软雅黑" w:eastAsia="微软雅黑" w:cs="微软雅黑"/>
          <w:color w:val="000000"/>
          <w:sz w:val="24"/>
        </w:rPr>
        <w:t>日期：    年    月    日</w:t>
      </w:r>
    </w:p>
    <w:p>
      <w:pPr>
        <w:pStyle w:val="4"/>
        <w:spacing w:line="440" w:lineRule="exact"/>
        <w:ind w:firstLine="0"/>
        <w:rPr>
          <w:rFonts w:ascii="微软雅黑" w:hAnsi="微软雅黑" w:eastAsia="微软雅黑" w:cs="微软雅黑"/>
          <w:b/>
          <w:bCs/>
          <w:color w:val="000000"/>
          <w:sz w:val="30"/>
        </w:rPr>
      </w:pPr>
    </w:p>
    <w:p>
      <w:pPr>
        <w:pStyle w:val="4"/>
        <w:spacing w:line="440" w:lineRule="exact"/>
        <w:ind w:firstLine="0"/>
        <w:rPr>
          <w:rFonts w:ascii="微软雅黑" w:hAnsi="微软雅黑" w:eastAsia="微软雅黑" w:cs="微软雅黑"/>
          <w:b/>
          <w:bCs/>
          <w:color w:val="000000"/>
          <w:sz w:val="30"/>
        </w:rPr>
      </w:pPr>
    </w:p>
    <w:p>
      <w:pPr>
        <w:pStyle w:val="4"/>
        <w:spacing w:line="440" w:lineRule="exact"/>
        <w:ind w:firstLine="0"/>
        <w:rPr>
          <w:rFonts w:ascii="微软雅黑" w:hAnsi="微软雅黑" w:eastAsia="微软雅黑" w:cs="微软雅黑"/>
          <w:b/>
          <w:bCs/>
          <w:color w:val="000000"/>
          <w:sz w:val="30"/>
        </w:rPr>
      </w:pPr>
    </w:p>
    <w:p>
      <w:pPr>
        <w:pStyle w:val="4"/>
        <w:spacing w:line="440" w:lineRule="exact"/>
        <w:ind w:firstLine="0"/>
        <w:rPr>
          <w:rFonts w:ascii="宋体" w:hAnsi="宋体"/>
          <w:b/>
          <w:bCs/>
          <w:color w:val="000000"/>
          <w:sz w:val="30"/>
        </w:rPr>
      </w:pPr>
      <w:r>
        <w:rPr>
          <w:rFonts w:hint="eastAsia" w:ascii="微软雅黑" w:hAnsi="微软雅黑" w:eastAsia="微软雅黑" w:cs="微软雅黑"/>
          <w:b/>
          <w:bCs/>
          <w:color w:val="000000"/>
          <w:sz w:val="30"/>
        </w:rPr>
        <w:br w:type="page"/>
      </w:r>
    </w:p>
    <w:p>
      <w:pPr>
        <w:pStyle w:val="4"/>
        <w:spacing w:line="440" w:lineRule="exact"/>
        <w:ind w:firstLine="0"/>
        <w:rPr>
          <w:rFonts w:ascii="微软雅黑" w:hAnsi="微软雅黑" w:eastAsia="微软雅黑" w:cs="微软雅黑"/>
          <w:b/>
          <w:bCs/>
          <w:color w:val="000000"/>
          <w:sz w:val="30"/>
        </w:rPr>
      </w:pPr>
      <w:r>
        <w:rPr>
          <w:rFonts w:hint="eastAsia" w:ascii="微软雅黑" w:hAnsi="微软雅黑" w:eastAsia="微软雅黑" w:cs="微软雅黑"/>
          <w:b/>
          <w:bCs/>
          <w:color w:val="000000"/>
          <w:sz w:val="30"/>
        </w:rPr>
        <w:t>二 、法定代表人身份证明</w:t>
      </w:r>
    </w:p>
    <w:p>
      <w:pPr>
        <w:pStyle w:val="4"/>
        <w:spacing w:line="440" w:lineRule="exact"/>
        <w:ind w:firstLine="0"/>
        <w:jc w:val="center"/>
        <w:rPr>
          <w:rFonts w:ascii="微软雅黑" w:hAnsi="微软雅黑" w:eastAsia="微软雅黑" w:cs="微软雅黑"/>
          <w:color w:val="000000"/>
          <w:sz w:val="32"/>
          <w:szCs w:val="32"/>
        </w:rPr>
      </w:pPr>
      <w:r>
        <w:rPr>
          <w:rFonts w:hint="eastAsia" w:ascii="微软雅黑" w:hAnsi="微软雅黑" w:eastAsia="微软雅黑" w:cs="微软雅黑"/>
          <w:color w:val="000000"/>
        </w:rPr>
        <w:t> </w:t>
      </w:r>
    </w:p>
    <w:p>
      <w:pPr>
        <w:pStyle w:val="4"/>
        <w:spacing w:line="440" w:lineRule="exact"/>
        <w:ind w:firstLine="500" w:firstLineChars="200"/>
        <w:rPr>
          <w:rFonts w:ascii="微软雅黑" w:hAnsi="微软雅黑" w:eastAsia="微软雅黑" w:cs="微软雅黑"/>
          <w:color w:val="000000"/>
          <w:sz w:val="25"/>
          <w:u w:val="single"/>
        </w:rPr>
      </w:pPr>
      <w:r>
        <w:rPr>
          <w:rFonts w:hint="eastAsia" w:ascii="微软雅黑" w:hAnsi="微软雅黑" w:eastAsia="微软雅黑" w:cs="微软雅黑"/>
          <w:color w:val="000000"/>
          <w:sz w:val="25"/>
        </w:rPr>
        <w:t>投标人名称：________________________________</w:t>
      </w:r>
    </w:p>
    <w:p>
      <w:pPr>
        <w:pStyle w:val="4"/>
        <w:spacing w:line="440" w:lineRule="exact"/>
        <w:ind w:firstLine="500" w:firstLineChars="200"/>
        <w:rPr>
          <w:rFonts w:ascii="微软雅黑" w:hAnsi="微软雅黑" w:eastAsia="微软雅黑" w:cs="微软雅黑"/>
          <w:color w:val="000000"/>
          <w:sz w:val="25"/>
        </w:rPr>
      </w:pPr>
      <w:r>
        <w:rPr>
          <w:rFonts w:hint="eastAsia" w:ascii="微软雅黑" w:hAnsi="微软雅黑" w:eastAsia="微软雅黑" w:cs="微软雅黑"/>
          <w:color w:val="000000"/>
          <w:sz w:val="25"/>
        </w:rPr>
        <w:t>单位性质：__________________________________</w:t>
      </w:r>
    </w:p>
    <w:p>
      <w:pPr>
        <w:pStyle w:val="4"/>
        <w:spacing w:line="440" w:lineRule="exact"/>
        <w:ind w:firstLine="500" w:firstLineChars="200"/>
        <w:rPr>
          <w:rFonts w:ascii="微软雅黑" w:hAnsi="微软雅黑" w:eastAsia="微软雅黑" w:cs="微软雅黑"/>
          <w:color w:val="000000"/>
          <w:sz w:val="25"/>
        </w:rPr>
      </w:pPr>
      <w:r>
        <w:rPr>
          <w:rFonts w:hint="eastAsia" w:ascii="微软雅黑" w:hAnsi="微软雅黑" w:eastAsia="微软雅黑" w:cs="微软雅黑"/>
          <w:color w:val="000000"/>
          <w:sz w:val="25"/>
        </w:rPr>
        <w:t>地    址：__________________________________</w:t>
      </w:r>
    </w:p>
    <w:p>
      <w:pPr>
        <w:pStyle w:val="4"/>
        <w:spacing w:line="440" w:lineRule="exact"/>
        <w:ind w:firstLine="500" w:firstLineChars="200"/>
        <w:rPr>
          <w:rFonts w:ascii="微软雅黑" w:hAnsi="微软雅黑" w:eastAsia="微软雅黑" w:cs="微软雅黑"/>
          <w:color w:val="000000"/>
          <w:sz w:val="25"/>
        </w:rPr>
      </w:pPr>
      <w:r>
        <w:rPr>
          <w:rFonts w:hint="eastAsia" w:ascii="微软雅黑" w:hAnsi="微软雅黑" w:eastAsia="微软雅黑" w:cs="微软雅黑"/>
          <w:color w:val="000000"/>
          <w:sz w:val="25"/>
        </w:rPr>
        <w:t>成立时间：       年  月  日</w:t>
      </w:r>
    </w:p>
    <w:p>
      <w:pPr>
        <w:pStyle w:val="4"/>
        <w:spacing w:line="440" w:lineRule="exact"/>
        <w:ind w:firstLine="500" w:firstLineChars="200"/>
        <w:rPr>
          <w:rFonts w:ascii="微软雅黑" w:hAnsi="微软雅黑" w:eastAsia="微软雅黑" w:cs="微软雅黑"/>
          <w:color w:val="000000"/>
          <w:sz w:val="25"/>
        </w:rPr>
      </w:pPr>
      <w:r>
        <w:rPr>
          <w:rFonts w:hint="eastAsia" w:ascii="微软雅黑" w:hAnsi="微软雅黑" w:eastAsia="微软雅黑" w:cs="微软雅黑"/>
          <w:color w:val="000000"/>
          <w:sz w:val="25"/>
        </w:rPr>
        <w:t>经营期限：__________________________________</w:t>
      </w:r>
    </w:p>
    <w:p>
      <w:pPr>
        <w:pStyle w:val="4"/>
        <w:spacing w:line="440" w:lineRule="exact"/>
        <w:ind w:firstLine="500" w:firstLineChars="200"/>
        <w:rPr>
          <w:rFonts w:ascii="微软雅黑" w:hAnsi="微软雅黑" w:eastAsia="微软雅黑" w:cs="微软雅黑"/>
          <w:color w:val="000000"/>
          <w:sz w:val="25"/>
        </w:rPr>
      </w:pPr>
      <w:r>
        <w:rPr>
          <w:rFonts w:hint="eastAsia" w:ascii="微软雅黑" w:hAnsi="微软雅黑" w:eastAsia="微软雅黑" w:cs="微软雅黑"/>
          <w:color w:val="000000"/>
          <w:sz w:val="25"/>
        </w:rPr>
        <w:t>姓    名：性别：年龄：______</w:t>
      </w:r>
    </w:p>
    <w:p>
      <w:pPr>
        <w:pStyle w:val="4"/>
        <w:spacing w:line="440" w:lineRule="exact"/>
        <w:ind w:firstLine="500" w:firstLineChars="200"/>
        <w:rPr>
          <w:rFonts w:ascii="微软雅黑" w:hAnsi="微软雅黑" w:eastAsia="微软雅黑" w:cs="微软雅黑"/>
          <w:color w:val="000000"/>
          <w:sz w:val="25"/>
          <w:u w:val="single"/>
        </w:rPr>
      </w:pPr>
      <w:r>
        <w:rPr>
          <w:rFonts w:hint="eastAsia" w:ascii="微软雅黑" w:hAnsi="微软雅黑" w:eastAsia="微软雅黑" w:cs="微软雅黑"/>
          <w:color w:val="000000"/>
          <w:sz w:val="25"/>
        </w:rPr>
        <w:t>职务：系：</w:t>
      </w:r>
      <w:r>
        <w:rPr>
          <w:rFonts w:hint="eastAsia" w:ascii="微软雅黑" w:hAnsi="微软雅黑" w:eastAsia="微软雅黑" w:cs="微软雅黑"/>
          <w:color w:val="000000"/>
          <w:sz w:val="25"/>
          <w:u w:val="single"/>
        </w:rPr>
        <w:t xml:space="preserve">          (投标人单位名称)            </w:t>
      </w:r>
    </w:p>
    <w:p>
      <w:pPr>
        <w:pStyle w:val="4"/>
        <w:spacing w:line="440" w:lineRule="exact"/>
        <w:ind w:firstLine="500" w:firstLineChars="200"/>
        <w:rPr>
          <w:rFonts w:ascii="微软雅黑" w:hAnsi="微软雅黑" w:eastAsia="微软雅黑" w:cs="微软雅黑"/>
          <w:color w:val="000000"/>
          <w:sz w:val="25"/>
        </w:rPr>
      </w:pPr>
      <w:r>
        <w:rPr>
          <w:rFonts w:hint="eastAsia" w:ascii="微软雅黑" w:hAnsi="微软雅黑" w:eastAsia="微软雅黑" w:cs="微软雅黑"/>
          <w:color w:val="000000"/>
          <w:sz w:val="25"/>
        </w:rPr>
        <w:t>的法定代表人。</w:t>
      </w:r>
    </w:p>
    <w:p>
      <w:pPr>
        <w:pStyle w:val="4"/>
        <w:spacing w:line="440" w:lineRule="exact"/>
        <w:ind w:firstLine="500" w:firstLineChars="200"/>
        <w:rPr>
          <w:rFonts w:ascii="微软雅黑" w:hAnsi="微软雅黑" w:eastAsia="微软雅黑" w:cs="微软雅黑"/>
          <w:color w:val="000000"/>
          <w:sz w:val="25"/>
        </w:rPr>
      </w:pPr>
    </w:p>
    <w:p>
      <w:pPr>
        <w:pStyle w:val="4"/>
        <w:spacing w:line="440" w:lineRule="exact"/>
        <w:ind w:firstLine="500" w:firstLineChars="200"/>
        <w:rPr>
          <w:rFonts w:ascii="微软雅黑" w:hAnsi="微软雅黑" w:eastAsia="微软雅黑" w:cs="微软雅黑"/>
          <w:color w:val="000000"/>
          <w:sz w:val="25"/>
        </w:rPr>
      </w:pPr>
      <w:r>
        <w:rPr>
          <w:rFonts w:hint="eastAsia" w:ascii="微软雅黑" w:hAnsi="微软雅黑" w:eastAsia="微软雅黑" w:cs="微软雅黑"/>
          <w:color w:val="000000"/>
          <w:sz w:val="25"/>
        </w:rPr>
        <w:t>特此证明</w:t>
      </w:r>
    </w:p>
    <w:p>
      <w:pPr>
        <w:pStyle w:val="4"/>
        <w:spacing w:line="440" w:lineRule="exact"/>
        <w:ind w:firstLine="500" w:firstLineChars="200"/>
        <w:rPr>
          <w:rFonts w:ascii="微软雅黑" w:hAnsi="微软雅黑" w:eastAsia="微软雅黑" w:cs="微软雅黑"/>
          <w:color w:val="000000"/>
          <w:sz w:val="25"/>
        </w:rPr>
      </w:pPr>
    </w:p>
    <w:p>
      <w:pPr>
        <w:pStyle w:val="4"/>
        <w:spacing w:line="440" w:lineRule="exact"/>
        <w:ind w:firstLine="3855" w:firstLineChars="1542"/>
        <w:rPr>
          <w:rFonts w:ascii="微软雅黑" w:hAnsi="微软雅黑" w:eastAsia="微软雅黑" w:cs="微软雅黑"/>
          <w:color w:val="000000"/>
          <w:sz w:val="25"/>
        </w:rPr>
      </w:pPr>
      <w:r>
        <w:rPr>
          <w:rFonts w:hint="eastAsia" w:ascii="微软雅黑" w:hAnsi="微软雅黑" w:eastAsia="微软雅黑" w:cs="微软雅黑"/>
          <w:color w:val="000000"/>
          <w:sz w:val="25"/>
        </w:rPr>
        <w:t>投标人(盖法人章)：</w:t>
      </w:r>
    </w:p>
    <w:p>
      <w:pPr>
        <w:pStyle w:val="4"/>
        <w:spacing w:line="440" w:lineRule="exact"/>
        <w:ind w:firstLine="3875" w:firstLineChars="1550"/>
        <w:rPr>
          <w:rFonts w:ascii="微软雅黑" w:hAnsi="微软雅黑" w:eastAsia="微软雅黑" w:cs="微软雅黑"/>
          <w:color w:val="000000"/>
          <w:sz w:val="25"/>
        </w:rPr>
      </w:pPr>
      <w:r>
        <w:rPr>
          <w:rFonts w:hint="eastAsia" w:ascii="微软雅黑" w:hAnsi="微软雅黑" w:eastAsia="微软雅黑" w:cs="微软雅黑"/>
          <w:color w:val="000000"/>
          <w:sz w:val="25"/>
        </w:rPr>
        <w:t>日   期：年月日</w:t>
      </w:r>
    </w:p>
    <w:p>
      <w:pPr>
        <w:pStyle w:val="4"/>
        <w:kinsoku w:val="0"/>
        <w:topLinePunct/>
        <w:autoSpaceDE w:val="0"/>
        <w:autoSpaceDN w:val="0"/>
        <w:snapToGrid w:val="0"/>
        <w:spacing w:before="100" w:beforeAutospacing="1" w:after="100" w:afterAutospacing="1" w:line="440" w:lineRule="exact"/>
        <w:ind w:right="210" w:firstLine="0"/>
        <w:rPr>
          <w:rFonts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（粘身份证复印件）</w:t>
      </w:r>
    </w:p>
    <w:p>
      <w:pPr>
        <w:widowControl/>
        <w:spacing w:line="360" w:lineRule="auto"/>
        <w:outlineLvl w:val="0"/>
        <w:rPr>
          <w:rFonts w:ascii="微软雅黑" w:hAnsi="微软雅黑" w:eastAsia="微软雅黑" w:cs="微软雅黑"/>
          <w:b/>
          <w:color w:val="000000"/>
          <w:sz w:val="24"/>
        </w:rPr>
      </w:pPr>
    </w:p>
    <w:p>
      <w:pPr>
        <w:widowControl/>
        <w:spacing w:line="360" w:lineRule="auto"/>
        <w:outlineLvl w:val="0"/>
        <w:rPr>
          <w:rFonts w:ascii="微软雅黑" w:hAnsi="微软雅黑" w:eastAsia="微软雅黑" w:cs="微软雅黑"/>
          <w:color w:val="000000"/>
          <w:sz w:val="24"/>
        </w:rPr>
      </w:pPr>
      <w:r>
        <w:rPr>
          <w:rFonts w:hint="eastAsia" w:ascii="微软雅黑" w:hAnsi="微软雅黑" w:eastAsia="微软雅黑" w:cs="微软雅黑"/>
          <w:b/>
          <w:color w:val="000000"/>
          <w:sz w:val="24"/>
        </w:rPr>
        <w:t>三、法定代表人委托书</w:t>
      </w:r>
      <w:r>
        <w:rPr>
          <w:rFonts w:hint="eastAsia" w:ascii="微软雅黑" w:hAnsi="微软雅黑" w:eastAsia="微软雅黑" w:cs="微软雅黑"/>
          <w:color w:val="000000"/>
          <w:sz w:val="24"/>
        </w:rPr>
        <w:t>(说明：法定代表人参加投标，不用此委托书)：</w:t>
      </w:r>
    </w:p>
    <w:p>
      <w:pPr>
        <w:spacing w:line="360" w:lineRule="auto"/>
        <w:ind w:firstLine="480"/>
        <w:rPr>
          <w:rFonts w:ascii="微软雅黑" w:hAnsi="微软雅黑" w:eastAsia="微软雅黑" w:cs="微软雅黑"/>
          <w:color w:val="000000"/>
          <w:sz w:val="24"/>
        </w:rPr>
      </w:pPr>
      <w:r>
        <w:rPr>
          <w:rFonts w:hint="eastAsia" w:ascii="微软雅黑" w:hAnsi="微软雅黑" w:eastAsia="微软雅黑" w:cs="微软雅黑"/>
          <w:color w:val="000000"/>
          <w:sz w:val="24"/>
        </w:rPr>
        <w:t>兹委托            参加贵单位组织的电子病历应用评级服务采购项目招标活动，全权代表我单位处理有关事宜。附全权代表情况：</w:t>
      </w:r>
    </w:p>
    <w:p>
      <w:pPr>
        <w:spacing w:line="360" w:lineRule="auto"/>
        <w:ind w:firstLine="480" w:firstLineChars="200"/>
        <w:rPr>
          <w:rFonts w:ascii="微软雅黑" w:hAnsi="微软雅黑" w:eastAsia="微软雅黑" w:cs="微软雅黑"/>
          <w:color w:val="000000"/>
          <w:sz w:val="24"/>
        </w:rPr>
      </w:pPr>
      <w:r>
        <w:rPr>
          <w:rFonts w:hint="eastAsia" w:ascii="微软雅黑" w:hAnsi="微软雅黑" w:eastAsia="微软雅黑" w:cs="微软雅黑"/>
          <w:color w:val="000000"/>
          <w:sz w:val="24"/>
        </w:rPr>
        <w:t xml:space="preserve">姓名：       性别：        年龄：        职务：        </w:t>
      </w:r>
    </w:p>
    <w:p>
      <w:pPr>
        <w:spacing w:line="360" w:lineRule="auto"/>
        <w:ind w:firstLine="480" w:firstLineChars="200"/>
        <w:rPr>
          <w:rFonts w:ascii="微软雅黑" w:hAnsi="微软雅黑" w:eastAsia="微软雅黑" w:cs="微软雅黑"/>
          <w:color w:val="000000"/>
          <w:sz w:val="24"/>
        </w:rPr>
      </w:pPr>
      <w:r>
        <w:rPr>
          <w:rFonts w:hint="eastAsia" w:ascii="微软雅黑" w:hAnsi="微软雅黑" w:eastAsia="微软雅黑" w:cs="微软雅黑"/>
          <w:color w:val="000000"/>
          <w:sz w:val="24"/>
        </w:rPr>
        <w:t xml:space="preserve">电话：       传真：        邮政编码：   </w:t>
      </w:r>
    </w:p>
    <w:p>
      <w:pPr>
        <w:spacing w:line="360" w:lineRule="auto"/>
        <w:ind w:firstLine="480"/>
        <w:rPr>
          <w:rFonts w:ascii="微软雅黑" w:hAnsi="微软雅黑" w:eastAsia="微软雅黑" w:cs="微软雅黑"/>
          <w:color w:val="000000"/>
          <w:sz w:val="24"/>
        </w:rPr>
      </w:pPr>
      <w:r>
        <w:rPr>
          <w:rFonts w:hint="eastAsia" w:ascii="微软雅黑" w:hAnsi="微软雅黑" w:eastAsia="微软雅黑" w:cs="微软雅黑"/>
          <w:color w:val="000000"/>
          <w:sz w:val="24"/>
        </w:rPr>
        <w:t>身份证号码：               详细通讯地址：</w:t>
      </w:r>
    </w:p>
    <w:p>
      <w:pPr>
        <w:spacing w:line="360" w:lineRule="auto"/>
        <w:ind w:left="6540" w:leftChars="2600" w:hanging="1080" w:hangingChars="450"/>
        <w:rPr>
          <w:rFonts w:ascii="微软雅黑" w:hAnsi="微软雅黑" w:eastAsia="微软雅黑" w:cs="微软雅黑"/>
          <w:color w:val="000000"/>
          <w:sz w:val="24"/>
        </w:rPr>
      </w:pPr>
      <w:r>
        <w:rPr>
          <w:rFonts w:hint="eastAsia" w:ascii="微软雅黑" w:hAnsi="微软雅黑" w:eastAsia="微软雅黑" w:cs="微软雅黑"/>
          <w:color w:val="000000"/>
          <w:sz w:val="24"/>
        </w:rPr>
        <w:t>单位名称(公章)</w:t>
      </w:r>
    </w:p>
    <w:p>
      <w:pPr>
        <w:spacing w:line="360" w:lineRule="auto"/>
        <w:ind w:left="6540" w:leftChars="2600" w:hanging="1080" w:hangingChars="450"/>
        <w:rPr>
          <w:rFonts w:ascii="微软雅黑" w:hAnsi="微软雅黑" w:eastAsia="微软雅黑" w:cs="微软雅黑"/>
          <w:color w:val="000000"/>
          <w:sz w:val="24"/>
        </w:rPr>
      </w:pPr>
      <w:r>
        <w:rPr>
          <w:rFonts w:hint="eastAsia" w:ascii="微软雅黑" w:hAnsi="微软雅黑" w:eastAsia="微软雅黑" w:cs="微软雅黑"/>
          <w:color w:val="000000"/>
          <w:sz w:val="24"/>
        </w:rPr>
        <w:t>法定代表人(签字)</w:t>
      </w:r>
    </w:p>
    <w:p>
      <w:pPr>
        <w:spacing w:line="360" w:lineRule="auto"/>
        <w:ind w:left="5601" w:leftChars="2667"/>
        <w:rPr>
          <w:rFonts w:ascii="微软雅黑" w:hAnsi="微软雅黑" w:eastAsia="微软雅黑" w:cs="微软雅黑"/>
          <w:color w:val="000000"/>
          <w:sz w:val="24"/>
        </w:rPr>
      </w:pPr>
      <w:r>
        <w:rPr>
          <w:rFonts w:hint="eastAsia" w:ascii="微软雅黑" w:hAnsi="微软雅黑" w:eastAsia="微软雅黑" w:cs="微软雅黑"/>
          <w:color w:val="000000"/>
          <w:sz w:val="24"/>
        </w:rPr>
        <w:t>年     月     日</w:t>
      </w:r>
    </w:p>
    <w:p>
      <w:pPr>
        <w:pStyle w:val="4"/>
        <w:kinsoku w:val="0"/>
        <w:topLinePunct/>
        <w:autoSpaceDE w:val="0"/>
        <w:autoSpaceDN w:val="0"/>
        <w:snapToGrid w:val="0"/>
        <w:spacing w:before="100" w:beforeAutospacing="1" w:after="100" w:afterAutospacing="1" w:line="440" w:lineRule="exact"/>
        <w:ind w:right="210" w:firstLine="0"/>
        <w:rPr>
          <w:rFonts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（粘身份证复印件）</w:t>
      </w:r>
    </w:p>
    <w:p>
      <w:pPr>
        <w:spacing w:line="360" w:lineRule="auto"/>
        <w:rPr>
          <w:rFonts w:ascii="微软雅黑" w:hAnsi="微软雅黑" w:eastAsia="微软雅黑" w:cs="微软雅黑"/>
          <w:b/>
          <w:color w:val="000000"/>
          <w:sz w:val="24"/>
        </w:rPr>
      </w:pPr>
    </w:p>
    <w:p>
      <w:pPr>
        <w:spacing w:line="360" w:lineRule="auto"/>
        <w:rPr>
          <w:rFonts w:ascii="微软雅黑" w:hAnsi="微软雅黑" w:eastAsia="微软雅黑" w:cs="微软雅黑"/>
          <w:b/>
          <w:color w:val="000000"/>
          <w:sz w:val="24"/>
        </w:rPr>
      </w:pPr>
    </w:p>
    <w:p>
      <w:pPr>
        <w:spacing w:line="360" w:lineRule="auto"/>
        <w:rPr>
          <w:rFonts w:ascii="微软雅黑" w:hAnsi="微软雅黑" w:eastAsia="微软雅黑" w:cs="微软雅黑"/>
          <w:b/>
          <w:color w:val="000000"/>
          <w:sz w:val="24"/>
        </w:rPr>
      </w:pPr>
      <w:r>
        <w:rPr>
          <w:rFonts w:hint="eastAsia" w:ascii="微软雅黑" w:hAnsi="微软雅黑" w:eastAsia="微软雅黑" w:cs="微软雅黑"/>
          <w:b/>
          <w:color w:val="000000"/>
          <w:sz w:val="24"/>
        </w:rPr>
        <w:br w:type="page"/>
      </w:r>
      <w:r>
        <w:rPr>
          <w:rFonts w:hint="eastAsia" w:ascii="微软雅黑" w:hAnsi="微软雅黑" w:eastAsia="微软雅黑" w:cs="微软雅黑"/>
          <w:b/>
          <w:color w:val="000000"/>
          <w:sz w:val="24"/>
        </w:rPr>
        <w:t>五、投标人资质材料</w:t>
      </w:r>
    </w:p>
    <w:p>
      <w:pPr>
        <w:spacing w:line="360" w:lineRule="auto"/>
        <w:ind w:firstLine="480" w:firstLineChars="200"/>
        <w:rPr>
          <w:rFonts w:ascii="微软雅黑" w:hAnsi="微软雅黑" w:eastAsia="微软雅黑" w:cs="微软雅黑"/>
          <w:color w:val="000000"/>
          <w:sz w:val="24"/>
        </w:rPr>
      </w:pPr>
      <w:r>
        <w:rPr>
          <w:rFonts w:hint="eastAsia" w:ascii="微软雅黑" w:hAnsi="微软雅黑" w:eastAsia="微软雅黑" w:cs="微软雅黑"/>
          <w:color w:val="000000"/>
          <w:sz w:val="24"/>
        </w:rPr>
        <w:t>注：投标声明、法定代表人身份证明及身份证复印件、法定代表人委托书及身份证复印件（如是法定代表人投标，不用此委托书）、企业营业执照复印件和“投标人资质要求”中要求提供的佐证材料。</w:t>
      </w:r>
    </w:p>
    <w:p>
      <w:pPr>
        <w:spacing w:line="360" w:lineRule="auto"/>
        <w:rPr>
          <w:rFonts w:ascii="微软雅黑" w:hAnsi="微软雅黑" w:eastAsia="微软雅黑" w:cs="微软雅黑"/>
          <w:sz w:val="24"/>
        </w:rPr>
      </w:pPr>
    </w:p>
    <w:p>
      <w:pPr>
        <w:widowControl/>
        <w:spacing w:line="360" w:lineRule="auto"/>
        <w:outlineLvl w:val="0"/>
        <w:rPr>
          <w:rFonts w:ascii="微软雅黑" w:hAnsi="微软雅黑" w:eastAsia="微软雅黑" w:cs="微软雅黑"/>
          <w:b/>
          <w:color w:val="000000"/>
          <w:sz w:val="24"/>
        </w:rPr>
      </w:pPr>
    </w:p>
    <w:p>
      <w:pPr>
        <w:widowControl/>
        <w:spacing w:line="360" w:lineRule="auto"/>
        <w:outlineLvl w:val="0"/>
        <w:rPr>
          <w:rFonts w:ascii="微软雅黑" w:hAnsi="微软雅黑" w:eastAsia="微软雅黑" w:cs="微软雅黑"/>
          <w:b/>
          <w:color w:val="000000"/>
          <w:sz w:val="24"/>
        </w:rPr>
      </w:pPr>
    </w:p>
    <w:p>
      <w:pPr>
        <w:widowControl/>
        <w:spacing w:line="360" w:lineRule="auto"/>
        <w:outlineLvl w:val="0"/>
        <w:rPr>
          <w:rFonts w:ascii="微软雅黑" w:hAnsi="微软雅黑" w:eastAsia="微软雅黑" w:cs="微软雅黑"/>
          <w:b/>
          <w:color w:val="000000"/>
          <w:sz w:val="24"/>
        </w:rPr>
      </w:pPr>
    </w:p>
    <w:p>
      <w:pPr>
        <w:widowControl/>
        <w:spacing w:line="360" w:lineRule="auto"/>
        <w:outlineLvl w:val="0"/>
        <w:rPr>
          <w:rFonts w:ascii="微软雅黑" w:hAnsi="微软雅黑" w:eastAsia="微软雅黑" w:cs="微软雅黑"/>
          <w:b/>
          <w:color w:val="000000"/>
          <w:sz w:val="24"/>
        </w:rPr>
      </w:pPr>
      <w:r>
        <w:rPr>
          <w:rFonts w:hint="eastAsia" w:ascii="微软雅黑" w:hAnsi="微软雅黑" w:eastAsia="微软雅黑" w:cs="微软雅黑"/>
          <w:b/>
          <w:color w:val="000000"/>
          <w:sz w:val="24"/>
        </w:rPr>
        <w:t>六、技术服务支持方案</w:t>
      </w:r>
    </w:p>
    <w:p>
      <w:pPr>
        <w:spacing w:line="360" w:lineRule="auto"/>
        <w:rPr>
          <w:rFonts w:ascii="微软雅黑" w:hAnsi="微软雅黑" w:eastAsia="微软雅黑" w:cs="微软雅黑"/>
          <w:sz w:val="24"/>
        </w:rPr>
      </w:pPr>
      <w:r>
        <w:rPr>
          <w:rFonts w:hint="eastAsia" w:ascii="微软雅黑" w:hAnsi="微软雅黑" w:eastAsia="微软雅黑" w:cs="微软雅黑"/>
          <w:color w:val="000000"/>
          <w:sz w:val="24"/>
        </w:rPr>
        <w:t xml:space="preserve">    注：综合实力（说明社会信誉及业内影响、企业规模、履约能力等）、</w:t>
      </w:r>
      <w:r>
        <w:rPr>
          <w:rFonts w:hint="eastAsia" w:ascii="微软雅黑" w:hAnsi="微软雅黑" w:eastAsia="微软雅黑" w:cs="微软雅黑"/>
          <w:sz w:val="24"/>
        </w:rPr>
        <w:t>投标产品主要技术详细描述，技术支持方案，质量保证和售后服务承诺。</w:t>
      </w:r>
    </w:p>
    <w:p>
      <w:pPr>
        <w:spacing w:line="360" w:lineRule="auto"/>
        <w:rPr>
          <w:rFonts w:ascii="微软雅黑" w:hAnsi="微软雅黑" w:eastAsia="微软雅黑" w:cs="微软雅黑"/>
          <w:sz w:val="24"/>
        </w:rPr>
      </w:pPr>
    </w:p>
    <w:p>
      <w:pPr>
        <w:spacing w:line="360" w:lineRule="auto"/>
        <w:rPr>
          <w:rFonts w:ascii="微软雅黑" w:hAnsi="微软雅黑" w:eastAsia="微软雅黑" w:cs="微软雅黑"/>
          <w:sz w:val="24"/>
        </w:rPr>
      </w:pPr>
    </w:p>
    <w:p>
      <w:pPr>
        <w:widowControl/>
        <w:spacing w:line="360" w:lineRule="auto"/>
        <w:outlineLvl w:val="0"/>
        <w:rPr>
          <w:rFonts w:ascii="微软雅黑" w:hAnsi="微软雅黑" w:eastAsia="微软雅黑" w:cs="微软雅黑"/>
          <w:b/>
          <w:color w:val="000000"/>
          <w:sz w:val="24"/>
        </w:rPr>
      </w:pPr>
    </w:p>
    <w:p>
      <w:pPr>
        <w:widowControl/>
        <w:spacing w:line="360" w:lineRule="auto"/>
        <w:outlineLvl w:val="0"/>
        <w:rPr>
          <w:rFonts w:ascii="微软雅黑" w:hAnsi="微软雅黑" w:eastAsia="微软雅黑" w:cs="微软雅黑"/>
          <w:b/>
          <w:color w:val="000000"/>
          <w:sz w:val="24"/>
        </w:rPr>
      </w:pPr>
    </w:p>
    <w:p>
      <w:pPr>
        <w:widowControl/>
        <w:spacing w:line="360" w:lineRule="auto"/>
        <w:outlineLvl w:val="0"/>
        <w:rPr>
          <w:rFonts w:ascii="微软雅黑" w:hAnsi="微软雅黑" w:eastAsia="微软雅黑" w:cs="微软雅黑"/>
          <w:b/>
          <w:color w:val="000000"/>
          <w:sz w:val="24"/>
        </w:rPr>
      </w:pPr>
    </w:p>
    <w:p>
      <w:pPr>
        <w:widowControl/>
        <w:spacing w:line="360" w:lineRule="auto"/>
        <w:outlineLvl w:val="0"/>
        <w:rPr>
          <w:rFonts w:ascii="微软雅黑" w:hAnsi="微软雅黑" w:eastAsia="微软雅黑" w:cs="微软雅黑"/>
          <w:b/>
          <w:color w:val="000000"/>
          <w:sz w:val="24"/>
        </w:rPr>
      </w:pPr>
    </w:p>
    <w:p>
      <w:pPr>
        <w:widowControl/>
        <w:spacing w:line="360" w:lineRule="auto"/>
        <w:outlineLvl w:val="0"/>
        <w:rPr>
          <w:rFonts w:ascii="微软雅黑" w:hAnsi="微软雅黑" w:eastAsia="微软雅黑" w:cs="微软雅黑"/>
          <w:b/>
          <w:color w:val="000000"/>
          <w:sz w:val="24"/>
        </w:rPr>
      </w:pPr>
      <w:r>
        <w:rPr>
          <w:rFonts w:hint="eastAsia" w:ascii="微软雅黑" w:hAnsi="微软雅黑" w:eastAsia="微软雅黑" w:cs="微软雅黑"/>
          <w:b/>
          <w:color w:val="000000"/>
          <w:sz w:val="24"/>
        </w:rPr>
        <w:t>七、其他材料</w:t>
      </w:r>
    </w:p>
    <w:p>
      <w:pPr>
        <w:widowControl/>
        <w:spacing w:line="360" w:lineRule="auto"/>
        <w:outlineLvl w:val="0"/>
        <w:rPr>
          <w:rFonts w:ascii="微软雅黑" w:hAnsi="微软雅黑" w:eastAsia="微软雅黑" w:cs="微软雅黑"/>
          <w:b/>
          <w:color w:val="000000"/>
          <w:sz w:val="24"/>
        </w:rPr>
      </w:pPr>
    </w:p>
    <w:p>
      <w:pPr>
        <w:widowControl/>
        <w:spacing w:line="360" w:lineRule="auto"/>
        <w:outlineLvl w:val="0"/>
        <w:rPr>
          <w:rFonts w:ascii="微软雅黑" w:hAnsi="微软雅黑" w:eastAsia="微软雅黑" w:cs="微软雅黑"/>
          <w:b/>
          <w:color w:val="000000"/>
          <w:sz w:val="24"/>
        </w:rPr>
      </w:pPr>
    </w:p>
    <w:p>
      <w:pPr>
        <w:widowControl/>
        <w:spacing w:line="360" w:lineRule="auto"/>
        <w:outlineLvl w:val="0"/>
        <w:rPr>
          <w:rFonts w:ascii="微软雅黑" w:hAnsi="微软雅黑" w:eastAsia="微软雅黑" w:cs="微软雅黑"/>
          <w:b/>
          <w:color w:val="000000"/>
          <w:sz w:val="24"/>
        </w:rPr>
      </w:pPr>
    </w:p>
    <w:p>
      <w:pPr>
        <w:widowControl/>
        <w:spacing w:line="360" w:lineRule="auto"/>
        <w:outlineLvl w:val="0"/>
        <w:rPr>
          <w:rFonts w:ascii="微软雅黑" w:hAnsi="微软雅黑" w:eastAsia="微软雅黑" w:cs="微软雅黑"/>
          <w:b/>
          <w:color w:val="000000"/>
          <w:sz w:val="24"/>
        </w:rPr>
      </w:pPr>
    </w:p>
    <w:p>
      <w:pPr>
        <w:pStyle w:val="12"/>
        <w:rPr>
          <w:rFonts w:ascii="微软雅黑" w:hAnsi="微软雅黑" w:eastAsia="微软雅黑" w:cs="微软雅黑"/>
          <w:color w:val="000000"/>
        </w:rPr>
      </w:pPr>
      <w:r>
        <w:rPr>
          <w:rFonts w:hint="eastAsia" w:ascii="微软雅黑" w:hAnsi="微软雅黑" w:eastAsia="微软雅黑" w:cs="微软雅黑"/>
          <w:color w:val="000000"/>
          <w:sz w:val="24"/>
          <w:szCs w:val="24"/>
        </w:rPr>
        <w:br w:type="page"/>
      </w:r>
      <w:r>
        <w:rPr>
          <w:rFonts w:hint="eastAsia" w:ascii="微软雅黑" w:hAnsi="微软雅黑" w:eastAsia="微软雅黑" w:cs="微软雅黑"/>
          <w:b/>
          <w:color w:val="000000"/>
          <w:sz w:val="24"/>
        </w:rPr>
        <w:t>附件2：报价文件格式</w:t>
      </w:r>
    </w:p>
    <w:p>
      <w:pPr>
        <w:widowControl/>
        <w:spacing w:line="560" w:lineRule="exact"/>
        <w:rPr>
          <w:rFonts w:ascii="微软雅黑" w:hAnsi="微软雅黑" w:eastAsia="微软雅黑" w:cs="微软雅黑"/>
          <w:color w:val="000000"/>
          <w:szCs w:val="21"/>
        </w:rPr>
      </w:pPr>
    </w:p>
    <w:p>
      <w:pPr>
        <w:widowControl/>
        <w:spacing w:line="560" w:lineRule="exact"/>
        <w:jc w:val="center"/>
        <w:rPr>
          <w:rFonts w:ascii="微软雅黑" w:hAnsi="微软雅黑" w:eastAsia="微软雅黑" w:cs="微软雅黑"/>
          <w:color w:val="000000"/>
          <w:sz w:val="40"/>
          <w:szCs w:val="44"/>
        </w:rPr>
      </w:pPr>
      <w:r>
        <w:rPr>
          <w:rFonts w:hint="eastAsia" w:ascii="微软雅黑" w:hAnsi="微软雅黑" w:eastAsia="微软雅黑" w:cs="微软雅黑"/>
          <w:color w:val="000000"/>
          <w:sz w:val="40"/>
          <w:szCs w:val="44"/>
        </w:rPr>
        <w:t>蚌埠市中医医院</w:t>
      </w:r>
    </w:p>
    <w:p>
      <w:pPr>
        <w:widowControl/>
        <w:spacing w:line="560" w:lineRule="exact"/>
        <w:jc w:val="center"/>
        <w:rPr>
          <w:rFonts w:ascii="微软雅黑" w:hAnsi="微软雅黑" w:eastAsia="微软雅黑" w:cs="微软雅黑"/>
          <w:color w:val="000000"/>
          <w:sz w:val="40"/>
          <w:szCs w:val="44"/>
        </w:rPr>
      </w:pPr>
      <w:r>
        <w:rPr>
          <w:rFonts w:hint="eastAsia" w:ascii="微软雅黑" w:hAnsi="微软雅黑" w:eastAsia="微软雅黑" w:cs="微软雅黑"/>
          <w:color w:val="000000"/>
          <w:sz w:val="40"/>
          <w:szCs w:val="44"/>
        </w:rPr>
        <w:t>电子病历应用评级服务采购项目</w:t>
      </w:r>
    </w:p>
    <w:p>
      <w:pPr>
        <w:widowControl/>
        <w:snapToGrid w:val="0"/>
        <w:jc w:val="center"/>
        <w:rPr>
          <w:rFonts w:ascii="微软雅黑" w:hAnsi="微软雅黑" w:eastAsia="微软雅黑" w:cs="微软雅黑"/>
          <w:color w:val="000000"/>
          <w:sz w:val="72"/>
          <w:szCs w:val="72"/>
        </w:rPr>
      </w:pPr>
      <w:r>
        <w:rPr>
          <w:rFonts w:hint="eastAsia" w:ascii="微软雅黑" w:hAnsi="微软雅黑" w:eastAsia="微软雅黑" w:cs="微软雅黑"/>
          <w:color w:val="000000"/>
          <w:sz w:val="56"/>
          <w:szCs w:val="56"/>
        </w:rPr>
        <w:t>商务报价文件</w:t>
      </w:r>
    </w:p>
    <w:p>
      <w:pPr>
        <w:widowControl/>
        <w:spacing w:line="560" w:lineRule="exact"/>
        <w:ind w:firstLine="560" w:firstLineChars="200"/>
        <w:rPr>
          <w:rFonts w:ascii="微软雅黑" w:hAnsi="微软雅黑" w:eastAsia="微软雅黑" w:cs="微软雅黑"/>
          <w:color w:val="000000"/>
          <w:sz w:val="28"/>
          <w:szCs w:val="28"/>
        </w:rPr>
      </w:pPr>
    </w:p>
    <w:p>
      <w:pPr>
        <w:widowControl/>
        <w:spacing w:line="560" w:lineRule="exact"/>
        <w:rPr>
          <w:rFonts w:ascii="微软雅黑" w:hAnsi="微软雅黑" w:eastAsia="微软雅黑" w:cs="微软雅黑"/>
          <w:color w:val="000000"/>
          <w:sz w:val="28"/>
          <w:szCs w:val="28"/>
        </w:rPr>
      </w:pPr>
    </w:p>
    <w:p>
      <w:pPr>
        <w:widowControl/>
        <w:spacing w:line="560" w:lineRule="exact"/>
        <w:rPr>
          <w:rFonts w:ascii="微软雅黑" w:hAnsi="微软雅黑" w:eastAsia="微软雅黑" w:cs="微软雅黑"/>
          <w:color w:val="000000"/>
          <w:sz w:val="28"/>
          <w:szCs w:val="28"/>
        </w:rPr>
      </w:pPr>
    </w:p>
    <w:p>
      <w:pPr>
        <w:widowControl/>
        <w:spacing w:line="560" w:lineRule="exact"/>
        <w:rPr>
          <w:rFonts w:ascii="微软雅黑" w:hAnsi="微软雅黑" w:eastAsia="微软雅黑" w:cs="微软雅黑"/>
          <w:color w:val="000000"/>
          <w:sz w:val="28"/>
          <w:szCs w:val="28"/>
        </w:rPr>
      </w:pPr>
    </w:p>
    <w:p>
      <w:pPr>
        <w:widowControl/>
        <w:spacing w:line="560" w:lineRule="exact"/>
        <w:ind w:firstLine="560" w:firstLineChars="200"/>
        <w:rPr>
          <w:rFonts w:ascii="微软雅黑" w:hAnsi="微软雅黑" w:eastAsia="微软雅黑" w:cs="微软雅黑"/>
          <w:color w:val="000000"/>
          <w:sz w:val="28"/>
          <w:szCs w:val="28"/>
          <w:u w:val="single"/>
        </w:rPr>
      </w:pPr>
      <w:r>
        <w:rPr>
          <w:rFonts w:hint="eastAsia" w:ascii="微软雅黑" w:hAnsi="微软雅黑" w:eastAsia="微软雅黑" w:cs="微软雅黑"/>
          <w:color w:val="000000"/>
          <w:sz w:val="28"/>
          <w:szCs w:val="28"/>
        </w:rPr>
        <w:t xml:space="preserve">    供应商名称：</w:t>
      </w:r>
      <w:r>
        <w:rPr>
          <w:rFonts w:hint="eastAsia" w:ascii="微软雅黑" w:hAnsi="微软雅黑" w:eastAsia="微软雅黑" w:cs="微软雅黑"/>
          <w:color w:val="000000"/>
          <w:sz w:val="28"/>
          <w:szCs w:val="28"/>
          <w:u w:val="single"/>
        </w:rPr>
        <w:t xml:space="preserve">                                  </w:t>
      </w:r>
      <w:r>
        <w:rPr>
          <w:rFonts w:hint="eastAsia" w:ascii="微软雅黑" w:hAnsi="微软雅黑" w:eastAsia="微软雅黑" w:cs="微软雅黑"/>
          <w:color w:val="000000"/>
          <w:sz w:val="28"/>
          <w:szCs w:val="28"/>
        </w:rPr>
        <w:t xml:space="preserve"> </w:t>
      </w:r>
    </w:p>
    <w:p>
      <w:pPr>
        <w:widowControl/>
        <w:spacing w:line="560" w:lineRule="exact"/>
        <w:ind w:firstLine="560" w:firstLineChars="200"/>
        <w:rPr>
          <w:rFonts w:ascii="微软雅黑" w:hAnsi="微软雅黑" w:eastAsia="微软雅黑" w:cs="微软雅黑"/>
          <w:color w:val="000000"/>
          <w:sz w:val="28"/>
          <w:szCs w:val="28"/>
        </w:rPr>
      </w:pPr>
    </w:p>
    <w:p>
      <w:pPr>
        <w:widowControl/>
        <w:spacing w:line="560" w:lineRule="exact"/>
        <w:ind w:firstLine="560" w:firstLineChars="200"/>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 xml:space="preserve">    法定代表人或其委托代理人：</w:t>
      </w:r>
      <w:r>
        <w:rPr>
          <w:rFonts w:hint="eastAsia" w:ascii="微软雅黑" w:hAnsi="微软雅黑" w:eastAsia="微软雅黑" w:cs="微软雅黑"/>
          <w:color w:val="000000"/>
          <w:sz w:val="28"/>
          <w:szCs w:val="28"/>
          <w:u w:val="single"/>
        </w:rPr>
        <w:t xml:space="preserve">                    </w:t>
      </w:r>
      <w:r>
        <w:rPr>
          <w:rFonts w:hint="eastAsia" w:ascii="微软雅黑" w:hAnsi="微软雅黑" w:eastAsia="微软雅黑" w:cs="微软雅黑"/>
          <w:color w:val="000000"/>
          <w:sz w:val="28"/>
          <w:szCs w:val="28"/>
        </w:rPr>
        <w:t xml:space="preserve"> </w:t>
      </w:r>
    </w:p>
    <w:p>
      <w:pPr>
        <w:widowControl/>
        <w:spacing w:line="560" w:lineRule="exact"/>
        <w:rPr>
          <w:rFonts w:ascii="微软雅黑" w:hAnsi="微软雅黑" w:eastAsia="微软雅黑" w:cs="微软雅黑"/>
          <w:color w:val="000000"/>
          <w:sz w:val="28"/>
          <w:szCs w:val="28"/>
          <w:u w:val="single"/>
        </w:rPr>
      </w:pPr>
    </w:p>
    <w:p>
      <w:pPr>
        <w:widowControl/>
        <w:spacing w:line="560" w:lineRule="exact"/>
        <w:ind w:firstLine="2800" w:firstLineChars="1000"/>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 xml:space="preserve">  </w:t>
      </w:r>
      <w:r>
        <w:rPr>
          <w:rFonts w:hint="eastAsia" w:ascii="微软雅黑" w:hAnsi="微软雅黑" w:eastAsia="微软雅黑" w:cs="微软雅黑"/>
          <w:color w:val="000000"/>
          <w:sz w:val="28"/>
          <w:szCs w:val="28"/>
          <w:u w:val="single"/>
        </w:rPr>
        <w:t>2021</w:t>
      </w:r>
      <w:r>
        <w:rPr>
          <w:rFonts w:hint="eastAsia" w:ascii="微软雅黑" w:hAnsi="微软雅黑" w:eastAsia="微软雅黑" w:cs="微软雅黑"/>
          <w:color w:val="000000"/>
          <w:sz w:val="28"/>
          <w:szCs w:val="28"/>
        </w:rPr>
        <w:t>年</w:t>
      </w:r>
      <w:r>
        <w:rPr>
          <w:rFonts w:hint="eastAsia" w:ascii="微软雅黑" w:hAnsi="微软雅黑" w:eastAsia="微软雅黑" w:cs="微软雅黑"/>
          <w:color w:val="000000"/>
          <w:sz w:val="28"/>
          <w:szCs w:val="28"/>
          <w:u w:val="single"/>
        </w:rPr>
        <w:t xml:space="preserve">       </w:t>
      </w:r>
      <w:r>
        <w:rPr>
          <w:rFonts w:hint="eastAsia" w:ascii="微软雅黑" w:hAnsi="微软雅黑" w:eastAsia="微软雅黑" w:cs="微软雅黑"/>
          <w:color w:val="000000"/>
          <w:sz w:val="28"/>
          <w:szCs w:val="28"/>
        </w:rPr>
        <w:t>月</w:t>
      </w:r>
      <w:r>
        <w:rPr>
          <w:rFonts w:hint="eastAsia" w:ascii="微软雅黑" w:hAnsi="微软雅黑" w:eastAsia="微软雅黑" w:cs="微软雅黑"/>
          <w:color w:val="000000"/>
          <w:sz w:val="28"/>
          <w:szCs w:val="28"/>
          <w:u w:val="single"/>
        </w:rPr>
        <w:t xml:space="preserve">        </w:t>
      </w:r>
      <w:r>
        <w:rPr>
          <w:rFonts w:hint="eastAsia" w:ascii="微软雅黑" w:hAnsi="微软雅黑" w:eastAsia="微软雅黑" w:cs="微软雅黑"/>
          <w:color w:val="000000"/>
          <w:sz w:val="28"/>
          <w:szCs w:val="28"/>
        </w:rPr>
        <w:t>日</w:t>
      </w:r>
    </w:p>
    <w:p>
      <w:pPr>
        <w:rPr>
          <w:rFonts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 xml:space="preserve"> </w:t>
      </w:r>
    </w:p>
    <w:p>
      <w:pPr>
        <w:jc w:val="center"/>
        <w:rPr>
          <w:rStyle w:val="13"/>
          <w:rFonts w:ascii="微软雅黑" w:hAnsi="微软雅黑" w:eastAsia="微软雅黑" w:cs="微软雅黑"/>
          <w:b w:val="0"/>
          <w:color w:val="000000"/>
          <w:sz w:val="30"/>
          <w:szCs w:val="30"/>
        </w:rPr>
      </w:pPr>
      <w:r>
        <w:rPr>
          <w:rFonts w:hint="eastAsia" w:ascii="微软雅黑" w:hAnsi="微软雅黑" w:eastAsia="微软雅黑" w:cs="微软雅黑"/>
          <w:b/>
          <w:bCs/>
          <w:color w:val="000000"/>
          <w:sz w:val="28"/>
          <w:szCs w:val="28"/>
        </w:rPr>
        <w:br w:type="page"/>
      </w:r>
      <w:r>
        <w:rPr>
          <w:rFonts w:hint="eastAsia" w:ascii="微软雅黑" w:hAnsi="微软雅黑" w:eastAsia="微软雅黑" w:cs="微软雅黑"/>
          <w:b/>
          <w:bCs/>
          <w:color w:val="000000"/>
          <w:sz w:val="28"/>
          <w:szCs w:val="28"/>
        </w:rPr>
        <w:t>一</w:t>
      </w:r>
      <w:r>
        <w:rPr>
          <w:rStyle w:val="13"/>
          <w:rFonts w:hint="eastAsia" w:ascii="微软雅黑" w:hAnsi="微软雅黑" w:eastAsia="微软雅黑" w:cs="微软雅黑"/>
          <w:color w:val="000000"/>
          <w:sz w:val="28"/>
          <w:szCs w:val="28"/>
        </w:rPr>
        <w:t>、响应函</w:t>
      </w:r>
    </w:p>
    <w:p>
      <w:pPr>
        <w:widowControl/>
        <w:tabs>
          <w:tab w:val="left" w:leader="underscore" w:pos="2880"/>
        </w:tabs>
        <w:spacing w:line="400" w:lineRule="exact"/>
        <w:rPr>
          <w:rFonts w:ascii="微软雅黑" w:hAnsi="微软雅黑" w:eastAsia="微软雅黑" w:cs="微软雅黑"/>
          <w:b/>
          <w:color w:val="000000"/>
          <w:szCs w:val="21"/>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蚌埠市中医医院</w:t>
      </w:r>
    </w:p>
    <w:p>
      <w:pPr>
        <w:widowControl/>
        <w:spacing w:line="560" w:lineRule="exact"/>
        <w:ind w:firstLine="420" w:firstLineChars="200"/>
        <w:jc w:val="left"/>
        <w:rPr>
          <w:rFonts w:ascii="微软雅黑" w:hAnsi="微软雅黑" w:eastAsia="微软雅黑" w:cs="微软雅黑"/>
          <w:color w:val="000000"/>
          <w:sz w:val="40"/>
          <w:szCs w:val="44"/>
        </w:rPr>
      </w:pPr>
      <w:r>
        <w:rPr>
          <w:rFonts w:hint="eastAsia" w:ascii="微软雅黑" w:hAnsi="微软雅黑" w:eastAsia="微软雅黑" w:cs="微软雅黑"/>
          <w:color w:val="000000"/>
          <w:szCs w:val="21"/>
        </w:rPr>
        <w:t>1、我方已仔细研究</w:t>
      </w:r>
      <w:r>
        <w:rPr>
          <w:rFonts w:hint="eastAsia" w:ascii="微软雅黑" w:hAnsi="微软雅黑" w:eastAsia="微软雅黑" w:cs="微软雅黑"/>
          <w:color w:val="000000"/>
          <w:szCs w:val="21"/>
          <w:u w:val="single"/>
        </w:rPr>
        <w:t xml:space="preserve"> 蚌埠市中医医院 电子病历应用评级服务采购项目 </w:t>
      </w:r>
      <w:r>
        <w:rPr>
          <w:rFonts w:hint="eastAsia" w:ascii="微软雅黑" w:hAnsi="微软雅黑" w:eastAsia="微软雅黑" w:cs="微软雅黑"/>
          <w:color w:val="000000"/>
          <w:szCs w:val="21"/>
        </w:rPr>
        <w:t>询价文件的全部内容，接受你方在询价文件中对供应商的约束条件。</w:t>
      </w:r>
    </w:p>
    <w:p>
      <w:pPr>
        <w:widowControl/>
        <w:spacing w:line="40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2、我方已详细审查全部询价文件，包括全部澄清、修改、答疑补充文件。</w:t>
      </w:r>
    </w:p>
    <w:p>
      <w:pPr>
        <w:widowControl/>
        <w:spacing w:line="40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3、我方在此声明，所递交的响应文件及有关资料内容完整、真实和准确，且不存在采购文件规定的任何一种失信情形。</w:t>
      </w:r>
    </w:p>
    <w:p>
      <w:pPr>
        <w:widowControl/>
        <w:spacing w:line="40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4、如我方被确定为成交人：</w:t>
      </w:r>
    </w:p>
    <w:p>
      <w:pPr>
        <w:widowControl/>
        <w:spacing w:line="40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（1）我方承诺在收到成交通知后，在成交通知规定的期限内与你方签订合同。</w:t>
      </w:r>
    </w:p>
    <w:p>
      <w:pPr>
        <w:widowControl/>
        <w:spacing w:line="40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（2）我方承诺按照询价文件件规定向你方递交履约保证金。</w:t>
      </w:r>
    </w:p>
    <w:p>
      <w:pPr>
        <w:widowControl/>
        <w:spacing w:line="40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（3）我方承诺在合同约定的期限内完成规定的服务内容，履行合同规定的各项义务。</w:t>
      </w:r>
    </w:p>
    <w:p>
      <w:pPr>
        <w:widowControl/>
        <w:spacing w:line="40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5、我方同意按照你方要求提供与我方有关的一切数据或资料。</w:t>
      </w:r>
    </w:p>
    <w:p>
      <w:pPr>
        <w:widowControl/>
        <w:spacing w:line="40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6、我方对响应文件中所提供资料、文件、证书及证件的真实性、合法性和有效性负责。</w:t>
      </w:r>
    </w:p>
    <w:p>
      <w:pPr>
        <w:widowControl/>
        <w:tabs>
          <w:tab w:val="left" w:leader="underscore" w:pos="3600"/>
          <w:tab w:val="left" w:leader="underscore" w:pos="5400"/>
        </w:tabs>
        <w:spacing w:line="400" w:lineRule="exact"/>
        <w:ind w:firstLine="420" w:firstLineChars="200"/>
        <w:rPr>
          <w:rFonts w:ascii="微软雅黑" w:hAnsi="微软雅黑" w:eastAsia="微软雅黑" w:cs="微软雅黑"/>
          <w:color w:val="000000"/>
          <w:u w:val="single"/>
        </w:rPr>
      </w:pPr>
      <w:r>
        <w:rPr>
          <w:rFonts w:hint="eastAsia" w:ascii="微软雅黑" w:hAnsi="微软雅黑" w:eastAsia="微软雅黑" w:cs="微软雅黑"/>
          <w:color w:val="000000"/>
        </w:rPr>
        <w:t>7、其他补充说明：</w:t>
      </w:r>
      <w:r>
        <w:rPr>
          <w:rFonts w:hint="eastAsia" w:ascii="微软雅黑" w:hAnsi="微软雅黑" w:eastAsia="微软雅黑" w:cs="微软雅黑"/>
          <w:color w:val="000000"/>
          <w:u w:val="single"/>
        </w:rPr>
        <w:t xml:space="preserve">                                               </w:t>
      </w:r>
    </w:p>
    <w:p>
      <w:pPr>
        <w:widowControl/>
        <w:tabs>
          <w:tab w:val="left" w:leader="underscore" w:pos="3600"/>
          <w:tab w:val="left" w:leader="underscore" w:pos="5400"/>
        </w:tabs>
        <w:spacing w:line="400" w:lineRule="exact"/>
        <w:ind w:firstLine="420" w:firstLineChars="200"/>
        <w:rPr>
          <w:rFonts w:ascii="微软雅黑" w:hAnsi="微软雅黑" w:eastAsia="微软雅黑" w:cs="微软雅黑"/>
          <w:b/>
          <w:color w:val="000000"/>
        </w:rPr>
      </w:pPr>
    </w:p>
    <w:p>
      <w:pPr>
        <w:pStyle w:val="14"/>
        <w:spacing w:line="360" w:lineRule="auto"/>
        <w:ind w:firstLine="1760" w:firstLineChars="800"/>
        <w:rPr>
          <w:rFonts w:ascii="微软雅黑" w:hAnsi="微软雅黑" w:eastAsia="微软雅黑" w:cs="微软雅黑"/>
          <w:color w:val="000000"/>
          <w:sz w:val="22"/>
        </w:rPr>
      </w:pPr>
      <w:r>
        <w:rPr>
          <w:rFonts w:hint="eastAsia" w:ascii="微软雅黑" w:hAnsi="微软雅黑" w:eastAsia="微软雅黑" w:cs="微软雅黑"/>
          <w:color w:val="000000"/>
          <w:sz w:val="22"/>
        </w:rPr>
        <w:t>供应商：</w:t>
      </w:r>
      <w:r>
        <w:rPr>
          <w:rFonts w:hint="eastAsia" w:ascii="微软雅黑" w:hAnsi="微软雅黑" w:eastAsia="微软雅黑" w:cs="微软雅黑"/>
          <w:color w:val="000000"/>
          <w:spacing w:val="42"/>
          <w:sz w:val="22"/>
          <w:u w:val="single"/>
        </w:rPr>
        <w:t xml:space="preserve"> </w:t>
      </w:r>
      <w:r>
        <w:rPr>
          <w:rFonts w:hint="eastAsia" w:ascii="微软雅黑" w:hAnsi="微软雅黑" w:eastAsia="微软雅黑" w:cs="微软雅黑"/>
          <w:color w:val="000000"/>
          <w:sz w:val="22"/>
          <w:u w:val="single"/>
        </w:rPr>
        <w:t xml:space="preserve">       （盖单位章）                             </w:t>
      </w:r>
    </w:p>
    <w:p>
      <w:pPr>
        <w:pStyle w:val="14"/>
        <w:spacing w:line="360" w:lineRule="auto"/>
        <w:ind w:firstLine="1760" w:firstLineChars="800"/>
        <w:rPr>
          <w:rFonts w:ascii="微软雅黑" w:hAnsi="微软雅黑" w:eastAsia="微软雅黑" w:cs="微软雅黑"/>
          <w:color w:val="000000"/>
          <w:sz w:val="22"/>
        </w:rPr>
      </w:pPr>
      <w:r>
        <w:rPr>
          <w:rFonts w:hint="eastAsia" w:ascii="微软雅黑" w:hAnsi="微软雅黑" w:eastAsia="微软雅黑" w:cs="微软雅黑"/>
          <w:color w:val="000000"/>
          <w:sz w:val="22"/>
        </w:rPr>
        <w:t>法定代表人或其授权委托代理人</w:t>
      </w:r>
      <w:r>
        <w:rPr>
          <w:rFonts w:hint="eastAsia" w:ascii="微软雅黑" w:hAnsi="微软雅黑" w:eastAsia="微软雅黑" w:cs="微软雅黑"/>
          <w:color w:val="000000"/>
          <w:spacing w:val="1"/>
          <w:sz w:val="22"/>
        </w:rPr>
        <w:t>：</w:t>
      </w:r>
      <w:r>
        <w:rPr>
          <w:rFonts w:hint="eastAsia" w:ascii="微软雅黑" w:hAnsi="微软雅黑" w:eastAsia="微软雅黑" w:cs="微软雅黑"/>
          <w:color w:val="000000"/>
          <w:spacing w:val="42"/>
          <w:sz w:val="22"/>
          <w:u w:val="single"/>
        </w:rPr>
        <w:t xml:space="preserve">     （签字）    </w:t>
      </w:r>
    </w:p>
    <w:p>
      <w:pPr>
        <w:pStyle w:val="14"/>
        <w:spacing w:line="360" w:lineRule="auto"/>
        <w:ind w:firstLine="1744" w:firstLineChars="800"/>
        <w:rPr>
          <w:rFonts w:ascii="微软雅黑" w:hAnsi="微软雅黑" w:eastAsia="微软雅黑" w:cs="微软雅黑"/>
          <w:color w:val="000000"/>
          <w:sz w:val="22"/>
        </w:rPr>
      </w:pPr>
      <w:r>
        <w:rPr>
          <w:rFonts w:hint="eastAsia" w:ascii="微软雅黑" w:hAnsi="微软雅黑" w:eastAsia="微软雅黑" w:cs="微软雅黑"/>
          <w:color w:val="000000"/>
          <w:spacing w:val="-1"/>
          <w:sz w:val="22"/>
        </w:rPr>
        <w:t>地</w:t>
      </w:r>
      <w:r>
        <w:rPr>
          <w:rFonts w:hint="eastAsia" w:ascii="微软雅黑" w:hAnsi="微软雅黑" w:eastAsia="微软雅黑" w:cs="微软雅黑"/>
          <w:color w:val="000000"/>
          <w:spacing w:val="1"/>
          <w:sz w:val="22"/>
        </w:rPr>
        <w:t>址</w:t>
      </w:r>
      <w:r>
        <w:rPr>
          <w:rFonts w:hint="eastAsia" w:ascii="微软雅黑" w:hAnsi="微软雅黑" w:eastAsia="微软雅黑" w:cs="微软雅黑"/>
          <w:color w:val="000000"/>
          <w:spacing w:val="42"/>
          <w:sz w:val="22"/>
          <w:u w:val="single"/>
        </w:rPr>
        <w:t xml:space="preserve"> </w:t>
      </w:r>
      <w:r>
        <w:rPr>
          <w:rFonts w:hint="eastAsia" w:ascii="微软雅黑" w:hAnsi="微软雅黑" w:eastAsia="微软雅黑" w:cs="微软雅黑"/>
          <w:color w:val="000000"/>
          <w:sz w:val="22"/>
          <w:u w:val="single"/>
        </w:rPr>
        <w:t xml:space="preserve">                    </w:t>
      </w:r>
      <w:r>
        <w:rPr>
          <w:rFonts w:hint="eastAsia" w:ascii="微软雅黑" w:hAnsi="微软雅黑" w:eastAsia="微软雅黑" w:cs="微软雅黑"/>
          <w:color w:val="000000"/>
          <w:spacing w:val="-1"/>
          <w:sz w:val="22"/>
        </w:rPr>
        <w:t>电话</w:t>
      </w:r>
      <w:r>
        <w:rPr>
          <w:rFonts w:hint="eastAsia" w:ascii="微软雅黑" w:hAnsi="微软雅黑" w:eastAsia="微软雅黑" w:cs="微软雅黑"/>
          <w:color w:val="000000"/>
          <w:sz w:val="22"/>
          <w:u w:val="single"/>
        </w:rPr>
        <w:t xml:space="preserve">                           </w:t>
      </w:r>
    </w:p>
    <w:p>
      <w:pPr>
        <w:pStyle w:val="14"/>
        <w:spacing w:line="360" w:lineRule="auto"/>
        <w:ind w:firstLine="1760" w:firstLineChars="800"/>
        <w:rPr>
          <w:rFonts w:ascii="微软雅黑" w:hAnsi="微软雅黑" w:eastAsia="微软雅黑" w:cs="微软雅黑"/>
          <w:color w:val="000000"/>
          <w:sz w:val="22"/>
        </w:rPr>
      </w:pPr>
      <w:r>
        <w:rPr>
          <w:rFonts w:hint="eastAsia" w:ascii="微软雅黑" w:hAnsi="微软雅黑" w:eastAsia="微软雅黑" w:cs="微软雅黑"/>
          <w:color w:val="000000"/>
          <w:sz w:val="22"/>
        </w:rPr>
        <w:t>电子邮箱</w:t>
      </w:r>
      <w:r>
        <w:rPr>
          <w:rFonts w:hint="eastAsia" w:ascii="微软雅黑" w:hAnsi="微软雅黑" w:eastAsia="微软雅黑" w:cs="微软雅黑"/>
          <w:color w:val="000000"/>
          <w:sz w:val="22"/>
          <w:u w:val="single"/>
        </w:rPr>
        <w:t xml:space="preserve">                  </w:t>
      </w:r>
      <w:r>
        <w:rPr>
          <w:rFonts w:hint="eastAsia" w:ascii="微软雅黑" w:hAnsi="微软雅黑" w:eastAsia="微软雅黑" w:cs="微软雅黑"/>
          <w:color w:val="000000"/>
          <w:sz w:val="22"/>
        </w:rPr>
        <w:t>网址：</w:t>
      </w:r>
      <w:r>
        <w:rPr>
          <w:rFonts w:hint="eastAsia" w:ascii="微软雅黑" w:hAnsi="微软雅黑" w:eastAsia="微软雅黑" w:cs="微软雅黑"/>
          <w:color w:val="000000"/>
          <w:sz w:val="22"/>
          <w:u w:val="single"/>
        </w:rPr>
        <w:t xml:space="preserve">                         </w:t>
      </w:r>
    </w:p>
    <w:p>
      <w:pPr>
        <w:pStyle w:val="14"/>
        <w:spacing w:line="360" w:lineRule="auto"/>
        <w:rPr>
          <w:rFonts w:ascii="微软雅黑" w:hAnsi="微软雅黑" w:eastAsia="微软雅黑" w:cs="微软雅黑"/>
          <w:color w:val="000000"/>
          <w:sz w:val="24"/>
          <w:szCs w:val="20"/>
        </w:rPr>
      </w:pPr>
      <w:r>
        <w:rPr>
          <w:rFonts w:hint="eastAsia" w:ascii="微软雅黑" w:hAnsi="微软雅黑" w:eastAsia="微软雅黑" w:cs="微软雅黑"/>
          <w:color w:val="000000"/>
          <w:sz w:val="24"/>
          <w:szCs w:val="20"/>
        </w:rPr>
        <w:t xml:space="preserve">                       </w:t>
      </w:r>
    </w:p>
    <w:p>
      <w:pPr>
        <w:pStyle w:val="14"/>
        <w:spacing w:line="360" w:lineRule="auto"/>
        <w:rPr>
          <w:rFonts w:ascii="微软雅黑" w:hAnsi="微软雅黑" w:eastAsia="微软雅黑" w:cs="微软雅黑"/>
          <w:color w:val="000000"/>
          <w:sz w:val="22"/>
        </w:rPr>
      </w:pPr>
      <w:r>
        <w:rPr>
          <w:rFonts w:hint="eastAsia" w:ascii="微软雅黑" w:hAnsi="微软雅黑" w:eastAsia="微软雅黑" w:cs="微软雅黑"/>
          <w:color w:val="000000"/>
          <w:sz w:val="24"/>
          <w:szCs w:val="20"/>
        </w:rPr>
        <w:t xml:space="preserve">                                             </w:t>
      </w:r>
      <w:r>
        <w:rPr>
          <w:rFonts w:hint="eastAsia" w:ascii="微软雅黑" w:hAnsi="微软雅黑" w:eastAsia="微软雅黑" w:cs="微软雅黑"/>
          <w:color w:val="000000"/>
          <w:sz w:val="22"/>
          <w:u w:val="single"/>
        </w:rPr>
        <w:t xml:space="preserve"> 2021 </w:t>
      </w:r>
      <w:r>
        <w:rPr>
          <w:rFonts w:hint="eastAsia" w:ascii="微软雅黑" w:hAnsi="微软雅黑" w:eastAsia="微软雅黑" w:cs="微软雅黑"/>
          <w:color w:val="000000"/>
          <w:sz w:val="22"/>
        </w:rPr>
        <w:t>年</w:t>
      </w:r>
      <w:r>
        <w:rPr>
          <w:rFonts w:hint="eastAsia" w:ascii="微软雅黑" w:hAnsi="微软雅黑" w:eastAsia="微软雅黑" w:cs="微软雅黑"/>
          <w:color w:val="000000"/>
          <w:spacing w:val="42"/>
          <w:sz w:val="22"/>
          <w:u w:val="single"/>
        </w:rPr>
        <w:t xml:space="preserve">  </w:t>
      </w:r>
      <w:r>
        <w:rPr>
          <w:rFonts w:hint="eastAsia" w:ascii="微软雅黑" w:hAnsi="微软雅黑" w:eastAsia="微软雅黑" w:cs="微软雅黑"/>
          <w:color w:val="000000"/>
          <w:sz w:val="22"/>
        </w:rPr>
        <w:t>月</w:t>
      </w:r>
      <w:r>
        <w:rPr>
          <w:rFonts w:hint="eastAsia" w:ascii="微软雅黑" w:hAnsi="微软雅黑" w:eastAsia="微软雅黑" w:cs="微软雅黑"/>
          <w:color w:val="000000"/>
          <w:spacing w:val="42"/>
          <w:sz w:val="22"/>
          <w:u w:val="single"/>
        </w:rPr>
        <w:t xml:space="preserve">  </w:t>
      </w:r>
      <w:r>
        <w:rPr>
          <w:rFonts w:hint="eastAsia" w:ascii="微软雅黑" w:hAnsi="微软雅黑" w:eastAsia="微软雅黑" w:cs="微软雅黑"/>
          <w:color w:val="000000"/>
          <w:sz w:val="22"/>
        </w:rPr>
        <w:t>日</w:t>
      </w:r>
    </w:p>
    <w:p>
      <w:pPr>
        <w:pStyle w:val="14"/>
        <w:ind w:left="120" w:right="-20"/>
        <w:rPr>
          <w:rFonts w:ascii="微软雅黑" w:hAnsi="微软雅黑" w:eastAsia="微软雅黑" w:cs="微软雅黑"/>
          <w:color w:val="000000"/>
          <w:sz w:val="22"/>
        </w:rPr>
      </w:pPr>
    </w:p>
    <w:p>
      <w:pPr>
        <w:jc w:val="center"/>
        <w:rPr>
          <w:rStyle w:val="13"/>
          <w:rFonts w:ascii="微软雅黑" w:hAnsi="微软雅黑" w:eastAsia="微软雅黑" w:cs="微软雅黑"/>
          <w:bCs w:val="0"/>
          <w:color w:val="000000"/>
          <w:sz w:val="28"/>
          <w:szCs w:val="28"/>
        </w:rPr>
      </w:pPr>
      <w:r>
        <w:rPr>
          <w:rStyle w:val="13"/>
          <w:rFonts w:hint="eastAsia" w:ascii="微软雅黑" w:hAnsi="微软雅黑" w:eastAsia="微软雅黑" w:cs="微软雅黑"/>
          <w:color w:val="000000"/>
          <w:sz w:val="28"/>
          <w:szCs w:val="28"/>
        </w:rPr>
        <w:br w:type="page"/>
      </w:r>
      <w:r>
        <w:rPr>
          <w:rStyle w:val="13"/>
          <w:rFonts w:hint="eastAsia" w:ascii="微软雅黑" w:hAnsi="微软雅黑" w:eastAsia="微软雅黑" w:cs="微软雅黑"/>
          <w:bCs w:val="0"/>
          <w:color w:val="000000"/>
          <w:sz w:val="28"/>
          <w:szCs w:val="28"/>
        </w:rPr>
        <w:t>二</w:t>
      </w:r>
      <w:r>
        <w:rPr>
          <w:rStyle w:val="13"/>
          <w:rFonts w:hint="eastAsia" w:ascii="微软雅黑" w:hAnsi="微软雅黑" w:eastAsia="微软雅黑" w:cs="微软雅黑"/>
          <w:color w:val="000000"/>
          <w:sz w:val="28"/>
          <w:szCs w:val="28"/>
        </w:rPr>
        <w:t>、报价函</w:t>
      </w:r>
    </w:p>
    <w:p>
      <w:pPr>
        <w:widowControl/>
        <w:spacing w:line="333" w:lineRule="atLeast"/>
        <w:jc w:val="right"/>
        <w:rPr>
          <w:rFonts w:ascii="微软雅黑" w:hAnsi="微软雅黑" w:eastAsia="微软雅黑" w:cs="微软雅黑"/>
          <w:color w:val="000000"/>
          <w:szCs w:val="21"/>
        </w:rPr>
      </w:pPr>
    </w:p>
    <w:tbl>
      <w:tblPr>
        <w:tblStyle w:val="9"/>
        <w:tblW w:w="9600" w:type="dxa"/>
        <w:tblInd w:w="-34" w:type="dxa"/>
        <w:tblLayout w:type="fixed"/>
        <w:tblCellMar>
          <w:top w:w="0" w:type="dxa"/>
          <w:left w:w="108" w:type="dxa"/>
          <w:bottom w:w="0" w:type="dxa"/>
          <w:right w:w="108" w:type="dxa"/>
        </w:tblCellMar>
      </w:tblPr>
      <w:tblGrid>
        <w:gridCol w:w="1150"/>
        <w:gridCol w:w="2566"/>
        <w:gridCol w:w="1660"/>
        <w:gridCol w:w="2970"/>
        <w:gridCol w:w="1254"/>
      </w:tblGrid>
      <w:tr>
        <w:tblPrEx>
          <w:tblLayout w:type="fixed"/>
          <w:tblCellMar>
            <w:top w:w="0" w:type="dxa"/>
            <w:left w:w="108" w:type="dxa"/>
            <w:bottom w:w="0" w:type="dxa"/>
            <w:right w:w="108" w:type="dxa"/>
          </w:tblCellMar>
        </w:tblPrEx>
        <w:trPr>
          <w:trHeight w:val="1301" w:hRule="atLeast"/>
        </w:trPr>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序号</w:t>
            </w:r>
          </w:p>
        </w:tc>
        <w:tc>
          <w:tcPr>
            <w:tcW w:w="2566"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名称</w:t>
            </w:r>
          </w:p>
        </w:tc>
        <w:tc>
          <w:tcPr>
            <w:tcW w:w="1660"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数量</w:t>
            </w:r>
          </w:p>
        </w:tc>
        <w:tc>
          <w:tcPr>
            <w:tcW w:w="2970"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单 价（元）</w:t>
            </w:r>
          </w:p>
        </w:tc>
        <w:tc>
          <w:tcPr>
            <w:tcW w:w="1254"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备注</w:t>
            </w:r>
          </w:p>
        </w:tc>
      </w:tr>
      <w:tr>
        <w:tblPrEx>
          <w:tblLayout w:type="fixed"/>
          <w:tblCellMar>
            <w:top w:w="0" w:type="dxa"/>
            <w:left w:w="108" w:type="dxa"/>
            <w:bottom w:w="0" w:type="dxa"/>
            <w:right w:w="108" w:type="dxa"/>
          </w:tblCellMar>
        </w:tblPrEx>
        <w:trPr>
          <w:trHeight w:val="1098" w:hRule="atLeast"/>
        </w:trPr>
        <w:tc>
          <w:tcPr>
            <w:tcW w:w="1150"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w:t>
            </w:r>
          </w:p>
        </w:tc>
        <w:tc>
          <w:tcPr>
            <w:tcW w:w="2566"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　咨询指导</w:t>
            </w:r>
          </w:p>
        </w:tc>
        <w:tc>
          <w:tcPr>
            <w:tcW w:w="166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　</w:t>
            </w:r>
          </w:p>
        </w:tc>
        <w:tc>
          <w:tcPr>
            <w:tcW w:w="297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　</w:t>
            </w:r>
          </w:p>
        </w:tc>
        <w:tc>
          <w:tcPr>
            <w:tcW w:w="125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　</w:t>
            </w:r>
          </w:p>
        </w:tc>
      </w:tr>
      <w:tr>
        <w:tblPrEx>
          <w:tblLayout w:type="fixed"/>
          <w:tblCellMar>
            <w:top w:w="0" w:type="dxa"/>
            <w:left w:w="108" w:type="dxa"/>
            <w:bottom w:w="0" w:type="dxa"/>
            <w:right w:w="108" w:type="dxa"/>
          </w:tblCellMar>
        </w:tblPrEx>
        <w:trPr>
          <w:trHeight w:val="1206" w:hRule="atLeast"/>
        </w:trPr>
        <w:tc>
          <w:tcPr>
            <w:tcW w:w="1150"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w:t>
            </w:r>
          </w:p>
        </w:tc>
        <w:tc>
          <w:tcPr>
            <w:tcW w:w="2566"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　参评材料准备指导</w:t>
            </w:r>
          </w:p>
        </w:tc>
        <w:tc>
          <w:tcPr>
            <w:tcW w:w="166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　</w:t>
            </w:r>
          </w:p>
        </w:tc>
        <w:tc>
          <w:tcPr>
            <w:tcW w:w="297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　</w:t>
            </w:r>
          </w:p>
        </w:tc>
        <w:tc>
          <w:tcPr>
            <w:tcW w:w="125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　</w:t>
            </w:r>
          </w:p>
        </w:tc>
      </w:tr>
      <w:tr>
        <w:tblPrEx>
          <w:tblLayout w:type="fixed"/>
          <w:tblCellMar>
            <w:top w:w="0" w:type="dxa"/>
            <w:left w:w="108" w:type="dxa"/>
            <w:bottom w:w="0" w:type="dxa"/>
            <w:right w:w="108" w:type="dxa"/>
          </w:tblCellMar>
        </w:tblPrEx>
        <w:trPr>
          <w:trHeight w:val="1312" w:hRule="atLeast"/>
        </w:trPr>
        <w:tc>
          <w:tcPr>
            <w:tcW w:w="1150"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3</w:t>
            </w:r>
          </w:p>
          <w:p>
            <w:pPr>
              <w:widowControl/>
              <w:rPr>
                <w:rFonts w:ascii="微软雅黑" w:hAnsi="微软雅黑" w:eastAsia="微软雅黑" w:cs="微软雅黑"/>
                <w:color w:val="000000"/>
                <w:sz w:val="24"/>
              </w:rPr>
            </w:pPr>
          </w:p>
        </w:tc>
        <w:tc>
          <w:tcPr>
            <w:tcW w:w="2566"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　测评服务指导</w:t>
            </w:r>
          </w:p>
        </w:tc>
        <w:tc>
          <w:tcPr>
            <w:tcW w:w="1660"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　</w:t>
            </w:r>
          </w:p>
        </w:tc>
        <w:tc>
          <w:tcPr>
            <w:tcW w:w="2970"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　</w:t>
            </w:r>
          </w:p>
        </w:tc>
        <w:tc>
          <w:tcPr>
            <w:tcW w:w="125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　</w:t>
            </w:r>
          </w:p>
        </w:tc>
      </w:tr>
      <w:tr>
        <w:tblPrEx>
          <w:tblLayout w:type="fixed"/>
          <w:tblCellMar>
            <w:top w:w="0" w:type="dxa"/>
            <w:left w:w="108" w:type="dxa"/>
            <w:bottom w:w="0" w:type="dxa"/>
            <w:right w:w="108" w:type="dxa"/>
          </w:tblCellMar>
        </w:tblPrEx>
        <w:trPr>
          <w:trHeight w:val="1321" w:hRule="atLeast"/>
        </w:trPr>
        <w:tc>
          <w:tcPr>
            <w:tcW w:w="8346"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 xml:space="preserve">                         总价：</w:t>
            </w:r>
          </w:p>
        </w:tc>
        <w:tc>
          <w:tcPr>
            <w:tcW w:w="1254" w:type="dxa"/>
            <w:tcBorders>
              <w:top w:val="single" w:color="auto" w:sz="4" w:space="0"/>
              <w:left w:val="nil"/>
              <w:bottom w:val="single" w:color="auto" w:sz="4" w:space="0"/>
              <w:right w:val="single" w:color="auto" w:sz="4" w:space="0"/>
            </w:tcBorders>
            <w:vAlign w:val="center"/>
          </w:tcPr>
          <w:p>
            <w:pPr>
              <w:widowControl/>
              <w:jc w:val="left"/>
              <w:rPr>
                <w:rFonts w:ascii="微软雅黑" w:hAnsi="微软雅黑" w:eastAsia="微软雅黑" w:cs="微软雅黑"/>
                <w:color w:val="000000"/>
                <w:sz w:val="24"/>
              </w:rPr>
            </w:pPr>
          </w:p>
        </w:tc>
      </w:tr>
    </w:tbl>
    <w:p>
      <w:pPr>
        <w:widowControl/>
        <w:adjustRightInd w:val="0"/>
        <w:snapToGrid w:val="0"/>
        <w:spacing w:before="156" w:beforeLines="50" w:line="480" w:lineRule="auto"/>
        <w:ind w:right="-23"/>
        <w:rPr>
          <w:rFonts w:ascii="微软雅黑" w:hAnsi="微软雅黑" w:eastAsia="微软雅黑" w:cs="微软雅黑"/>
          <w:color w:val="000000"/>
          <w:szCs w:val="21"/>
        </w:rPr>
      </w:pPr>
    </w:p>
    <w:p>
      <w:pPr>
        <w:widowControl/>
        <w:adjustRightInd w:val="0"/>
        <w:snapToGrid w:val="0"/>
        <w:spacing w:before="156" w:beforeLines="50" w:line="480" w:lineRule="auto"/>
        <w:ind w:right="-23" w:firstLine="2730" w:firstLineChars="1300"/>
        <w:rPr>
          <w:rFonts w:ascii="微软雅黑" w:hAnsi="微软雅黑" w:eastAsia="微软雅黑" w:cs="微软雅黑"/>
          <w:color w:val="000000"/>
          <w:szCs w:val="21"/>
        </w:rPr>
      </w:pPr>
      <w:r>
        <w:rPr>
          <w:rFonts w:hint="eastAsia" w:ascii="微软雅黑" w:hAnsi="微软雅黑" w:eastAsia="微软雅黑" w:cs="微软雅黑"/>
          <w:color w:val="000000"/>
          <w:szCs w:val="21"/>
        </w:rPr>
        <w:t>供应商：</w:t>
      </w:r>
      <w:r>
        <w:rPr>
          <w:rFonts w:hint="eastAsia" w:ascii="微软雅黑" w:hAnsi="微软雅黑" w:eastAsia="微软雅黑" w:cs="微软雅黑"/>
          <w:color w:val="000000"/>
          <w:spacing w:val="42"/>
          <w:szCs w:val="21"/>
          <w:u w:val="single"/>
        </w:rPr>
        <w:t xml:space="preserve"> </w:t>
      </w:r>
      <w:r>
        <w:rPr>
          <w:rFonts w:hint="eastAsia" w:ascii="微软雅黑" w:hAnsi="微软雅黑" w:eastAsia="微软雅黑" w:cs="微软雅黑"/>
          <w:color w:val="000000"/>
          <w:szCs w:val="21"/>
          <w:u w:val="single"/>
        </w:rPr>
        <w:t xml:space="preserve">        （单位盖章）                     </w:t>
      </w:r>
    </w:p>
    <w:p>
      <w:pPr>
        <w:widowControl/>
        <w:adjustRightInd w:val="0"/>
        <w:snapToGrid w:val="0"/>
        <w:spacing w:line="480" w:lineRule="auto"/>
        <w:ind w:right="457" w:firstLine="2730" w:firstLineChars="1300"/>
        <w:rPr>
          <w:rFonts w:ascii="微软雅黑" w:hAnsi="微软雅黑" w:eastAsia="微软雅黑" w:cs="微软雅黑"/>
          <w:color w:val="000000"/>
          <w:szCs w:val="21"/>
        </w:rPr>
      </w:pPr>
      <w:r>
        <w:rPr>
          <w:rFonts w:hint="eastAsia" w:ascii="微软雅黑" w:hAnsi="微软雅黑" w:eastAsia="微软雅黑" w:cs="微软雅黑"/>
          <w:color w:val="000000"/>
          <w:szCs w:val="21"/>
        </w:rPr>
        <w:t>法定代表人或其委托代理人</w:t>
      </w:r>
      <w:r>
        <w:rPr>
          <w:rFonts w:hint="eastAsia" w:ascii="微软雅黑" w:hAnsi="微软雅黑" w:eastAsia="微软雅黑" w:cs="微软雅黑"/>
          <w:color w:val="000000"/>
          <w:spacing w:val="-47"/>
          <w:szCs w:val="21"/>
        </w:rPr>
        <w:t>：</w:t>
      </w:r>
      <w:r>
        <w:rPr>
          <w:rFonts w:hint="eastAsia" w:ascii="微软雅黑" w:hAnsi="微软雅黑" w:eastAsia="微软雅黑" w:cs="微软雅黑"/>
          <w:color w:val="000000"/>
          <w:spacing w:val="42"/>
          <w:szCs w:val="21"/>
          <w:u w:val="single"/>
        </w:rPr>
        <w:t xml:space="preserve"> </w:t>
      </w:r>
      <w:r>
        <w:rPr>
          <w:rFonts w:hint="eastAsia" w:ascii="微软雅黑" w:hAnsi="微软雅黑" w:eastAsia="微软雅黑" w:cs="微软雅黑"/>
          <w:color w:val="000000"/>
          <w:szCs w:val="21"/>
          <w:u w:val="single"/>
        </w:rPr>
        <w:t xml:space="preserve"> （签字或盖章）                      </w:t>
      </w:r>
    </w:p>
    <w:p>
      <w:pPr>
        <w:widowControl/>
        <w:adjustRightInd w:val="0"/>
        <w:snapToGrid w:val="0"/>
        <w:spacing w:line="480" w:lineRule="auto"/>
        <w:ind w:right="-23" w:firstLine="2835" w:firstLineChars="1350"/>
        <w:jc w:val="left"/>
        <w:rPr>
          <w:rFonts w:ascii="微软雅黑" w:hAnsi="微软雅黑" w:eastAsia="微软雅黑" w:cs="微软雅黑"/>
          <w:color w:val="000000"/>
          <w:szCs w:val="21"/>
        </w:rPr>
      </w:pPr>
      <w:r>
        <w:rPr>
          <w:rFonts w:hint="eastAsia" w:ascii="微软雅黑" w:hAnsi="微软雅黑" w:eastAsia="微软雅黑" w:cs="微软雅黑"/>
          <w:color w:val="000000"/>
        </w:rPr>
        <w:t xml:space="preserve">            </w:t>
      </w:r>
      <w:r>
        <w:rPr>
          <w:rFonts w:hint="eastAsia" w:ascii="微软雅黑" w:hAnsi="微软雅黑" w:eastAsia="微软雅黑" w:cs="微软雅黑"/>
          <w:color w:val="000000"/>
          <w:sz w:val="22"/>
          <w:u w:val="single"/>
        </w:rPr>
        <w:t xml:space="preserve"> 2021</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pacing w:val="42"/>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pacing w:val="42"/>
          <w:szCs w:val="21"/>
          <w:u w:val="single"/>
        </w:rPr>
        <w:t xml:space="preserve">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widowControl/>
        <w:spacing w:line="200" w:lineRule="atLeast"/>
        <w:rPr>
          <w:rFonts w:ascii="微软雅黑" w:hAnsi="微软雅黑" w:eastAsia="微软雅黑" w:cs="微软雅黑"/>
          <w:color w:val="000000"/>
          <w:sz w:val="20"/>
        </w:rPr>
      </w:pPr>
      <w:r>
        <w:rPr>
          <w:rFonts w:hint="eastAsia" w:ascii="微软雅黑" w:hAnsi="微软雅黑" w:eastAsia="微软雅黑" w:cs="微软雅黑"/>
          <w:color w:val="000000"/>
          <w:sz w:val="20"/>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1"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2" o:spid="_x0000_s4097"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tabs>
        <w:tab w:val="left" w:pos="3513"/>
        <w:tab w:val="clear" w:pos="4153"/>
      </w:tabs>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28F69D"/>
    <w:multiLevelType w:val="multilevel"/>
    <w:tmpl w:val="E228F69D"/>
    <w:lvl w:ilvl="0" w:tentative="0">
      <w:start w:val="1"/>
      <w:numFmt w:val="decimal"/>
      <w:lvlText w:val="%1."/>
      <w:lvlJc w:val="left"/>
      <w:pPr>
        <w:ind w:left="432" w:hanging="432"/>
      </w:pPr>
      <w:rPr>
        <w:rFonts w:hint="default"/>
      </w:rPr>
    </w:lvl>
    <w:lvl w:ilvl="1" w:tentative="0">
      <w:start w:val="2"/>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53"/>
    <w:rsid w:val="001F42B7"/>
    <w:rsid w:val="005310DC"/>
    <w:rsid w:val="00540175"/>
    <w:rsid w:val="00576E4B"/>
    <w:rsid w:val="006720F8"/>
    <w:rsid w:val="00814667"/>
    <w:rsid w:val="008D2F53"/>
    <w:rsid w:val="009242A9"/>
    <w:rsid w:val="00F25D28"/>
    <w:rsid w:val="01A943AD"/>
    <w:rsid w:val="09B80706"/>
    <w:rsid w:val="0F231FB1"/>
    <w:rsid w:val="0F946AEA"/>
    <w:rsid w:val="0FDE7398"/>
    <w:rsid w:val="126B2C68"/>
    <w:rsid w:val="15C908D8"/>
    <w:rsid w:val="15DE2001"/>
    <w:rsid w:val="18A143A5"/>
    <w:rsid w:val="20153D43"/>
    <w:rsid w:val="25B94BFA"/>
    <w:rsid w:val="28FB219C"/>
    <w:rsid w:val="2F6A5240"/>
    <w:rsid w:val="30DA095E"/>
    <w:rsid w:val="365E7851"/>
    <w:rsid w:val="37F41527"/>
    <w:rsid w:val="3ADB7787"/>
    <w:rsid w:val="3D125CD0"/>
    <w:rsid w:val="3FF62194"/>
    <w:rsid w:val="45424812"/>
    <w:rsid w:val="4A6531B3"/>
    <w:rsid w:val="4C1D5754"/>
    <w:rsid w:val="53A24784"/>
    <w:rsid w:val="5905665A"/>
    <w:rsid w:val="5A607928"/>
    <w:rsid w:val="5AD75E8E"/>
    <w:rsid w:val="61C56F5C"/>
    <w:rsid w:val="7880266E"/>
    <w:rsid w:val="7AD76374"/>
    <w:rsid w:val="7B1F1AD4"/>
    <w:rsid w:val="7BC93379"/>
    <w:rsid w:val="7FAE6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numPr>
        <w:ilvl w:val="1"/>
        <w:numId w:val="1"/>
      </w:numPr>
      <w:outlineLvl w:val="1"/>
    </w:pPr>
    <w:rPr>
      <w:rFonts w:ascii="微软雅黑" w:hAnsi="微软雅黑" w:eastAsia="微软雅黑"/>
      <w:b/>
      <w:bCs/>
      <w:sz w:val="32"/>
      <w:szCs w:val="32"/>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footer"/>
    <w:basedOn w:val="1"/>
    <w:link w:val="15"/>
    <w:qFormat/>
    <w:uiPriority w:val="0"/>
    <w:pPr>
      <w:tabs>
        <w:tab w:val="center" w:pos="4153"/>
        <w:tab w:val="right" w:pos="8306"/>
      </w:tabs>
      <w:snapToGrid w:val="0"/>
      <w:jc w:val="left"/>
    </w:pPr>
    <w:rPr>
      <w:rFonts w:ascii="Calibri" w:hAnsi="Calibri"/>
      <w:sz w:val="18"/>
    </w:rPr>
  </w:style>
  <w:style w:type="paragraph" w:styleId="6">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sz w:val="18"/>
    </w:rPr>
  </w:style>
  <w:style w:type="character" w:styleId="8">
    <w:name w:val="annotation reference"/>
    <w:semiHidden/>
    <w:qFormat/>
    <w:uiPriority w:val="0"/>
    <w:rPr>
      <w:sz w:val="21"/>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1">
    <w:name w:val="List Paragraph"/>
    <w:basedOn w:val="1"/>
    <w:qFormat/>
    <w:uiPriority w:val="34"/>
    <w:pPr>
      <w:ind w:firstLine="420" w:firstLineChars="200"/>
    </w:pPr>
    <w:rPr>
      <w:rFonts w:ascii="Calibri" w:hAnsi="Calibri"/>
      <w:szCs w:val="22"/>
    </w:rPr>
  </w:style>
  <w:style w:type="paragraph" w:customStyle="1" w:styleId="12">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
    <w:name w:val="标题 2 Char Char"/>
    <w:qFormat/>
    <w:uiPriority w:val="0"/>
    <w:rPr>
      <w:rFonts w:ascii="Arial" w:hAnsi="Arial" w:eastAsia="黑体" w:cs="Times New Roman"/>
      <w:b/>
      <w:bCs/>
      <w:kern w:val="2"/>
      <w:sz w:val="32"/>
      <w:szCs w:val="32"/>
      <w:lang w:val="en-US" w:eastAsia="zh-CN" w:bidi="ar-SA"/>
    </w:rPr>
  </w:style>
  <w:style w:type="paragraph" w:customStyle="1" w:styleId="14">
    <w:name w:val="p0"/>
    <w:basedOn w:val="1"/>
    <w:qFormat/>
    <w:uiPriority w:val="0"/>
    <w:pPr>
      <w:widowControl/>
      <w:jc w:val="left"/>
    </w:pPr>
    <w:rPr>
      <w:rFonts w:ascii="宋体" w:hAnsi="宋体" w:cs="宋体"/>
      <w:kern w:val="0"/>
      <w:sz w:val="18"/>
      <w:szCs w:val="18"/>
    </w:rPr>
  </w:style>
  <w:style w:type="character" w:customStyle="1" w:styleId="15">
    <w:name w:val="页脚 字符"/>
    <w:basedOn w:val="7"/>
    <w:link w:val="5"/>
    <w:qFormat/>
    <w:uiPriority w:val="0"/>
    <w:rPr>
      <w:rFonts w:ascii="Calibri" w:hAnsi="Calibri"/>
      <w:kern w:val="2"/>
      <w:sz w:val="18"/>
      <w:szCs w:val="24"/>
    </w:rPr>
  </w:style>
  <w:style w:type="character" w:customStyle="1" w:styleId="16">
    <w:name w:val="页眉 字符"/>
    <w:basedOn w:val="7"/>
    <w:link w:val="6"/>
    <w:qFormat/>
    <w:uiPriority w:val="0"/>
    <w:rPr>
      <w:rFonts w:ascii="Calibri" w:hAnsi="Calibr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1911</Words>
  <Characters>10895</Characters>
  <Lines>90</Lines>
  <Paragraphs>25</Paragraphs>
  <TotalTime>34</TotalTime>
  <ScaleCrop>false</ScaleCrop>
  <LinksUpToDate>false</LinksUpToDate>
  <CharactersWithSpaces>12781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2021-09-02T01:57:00Z</dcterms:created>
  <dc:creator>mac</dc:creator>
  <cp:lastModifiedBy>王华萍</cp:lastModifiedBy>
  <cp:lastPrinted>2021-09-06T00:38:51Z</cp:lastPrinted>
  <dcterms:modified xsi:type="dcterms:W3CDTF">2021-09-06T00:49:01Z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112636C6F0FE4849A6542DBD803B56D6</vt:lpwstr>
  </property>
</Properties>
</file>