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763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b/>
                <w:bCs/>
                <w:kern w:val="0"/>
                <w:szCs w:val="21"/>
              </w:rPr>
            </w:pPr>
            <w:bookmarkStart w:id="8" w:name="_GoBack"/>
            <w:bookmarkEnd w:id="8"/>
            <w:r>
              <w:rPr>
                <w:rFonts w:hint="eastAsia"/>
                <w:b/>
                <w:bCs/>
                <w:kern w:val="0"/>
                <w:szCs w:val="21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763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1.热循环系统：珀耳帖效应系统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2.通道数：6色荧光通道。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sz w:val="24"/>
                <w:szCs w:val="24"/>
              </w:rPr>
              <w:t>3.模块规格：</w:t>
            </w:r>
            <w:r>
              <w:rPr>
                <w:rFonts w:hint="eastAsia" w:ascii="宋体" w:hAnsi="宋体" w:cs="宋体"/>
                <w:szCs w:val="21"/>
              </w:rPr>
              <w:t>样本量96孔；必须支持双模双体系。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4.反应体积：5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100μL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5.支持耗材：</w:t>
            </w:r>
            <w:r>
              <w:rPr>
                <w:rFonts w:hint="eastAsia"/>
                <w:sz w:val="24"/>
                <w:szCs w:val="24"/>
              </w:rPr>
              <w:t>所有耗材全开放，支持原厂或第三方公司生产的耗材，要求支持全透明耗材，拒绝白色板等易引起加样误差的耗材。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</w:t>
            </w:r>
            <w:r>
              <w:rPr>
                <w:sz w:val="24"/>
                <w:szCs w:val="24"/>
              </w:rPr>
              <w:t>96孔反应板与光学盖膜；8连管条带与光学平盖、单管与光学平盖；</w:t>
            </w:r>
            <w:r>
              <w:rPr>
                <w:rFonts w:hint="eastAsia"/>
                <w:sz w:val="24"/>
                <w:szCs w:val="24"/>
              </w:rPr>
              <w:t>国际通用</w:t>
            </w:r>
            <w:r>
              <w:rPr>
                <w:sz w:val="24"/>
                <w:szCs w:val="24"/>
              </w:rPr>
              <w:t>384</w:t>
            </w:r>
            <w:r>
              <w:rPr>
                <w:rFonts w:hint="eastAsia"/>
                <w:sz w:val="24"/>
                <w:szCs w:val="24"/>
              </w:rPr>
              <w:t>孔反应板与光学盖膜。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6.通道开放性：全开放，支持国产、第三方生产的染料、试剂。</w:t>
            </w:r>
            <w:bookmarkStart w:id="0" w:name="_Hlk527983079"/>
          </w:p>
          <w:bookmarkEnd w:id="0"/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主机</w:t>
            </w:r>
            <w:r>
              <w:rPr>
                <w:sz w:val="24"/>
                <w:szCs w:val="24"/>
              </w:rPr>
              <w:t>升降温速率：6.5°C/秒。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8.温度范围：4°C–100°C。（</w:t>
            </w:r>
            <w:r>
              <w:rPr>
                <w:rFonts w:hint="eastAsia"/>
                <w:sz w:val="24"/>
                <w:szCs w:val="24"/>
              </w:rPr>
              <w:t>支持样本的低温保存功能</w:t>
            </w:r>
            <w:r>
              <w:rPr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温控系统：拥有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6个</w:t>
            </w:r>
            <w:r>
              <w:rPr>
                <w:rFonts w:hint="eastAsia"/>
                <w:sz w:val="24"/>
                <w:szCs w:val="24"/>
              </w:rPr>
              <w:t>可独立控制的数码温控模块，可同时扩增多个个不同退火温度的</w:t>
            </w:r>
            <w:r>
              <w:rPr>
                <w:sz w:val="24"/>
                <w:szCs w:val="24"/>
              </w:rPr>
              <w:t>PCR产物。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10.光学系统：</w:t>
            </w:r>
            <w:r>
              <w:rPr>
                <w:rFonts w:hint="eastAsia"/>
                <w:sz w:val="24"/>
                <w:szCs w:val="24"/>
              </w:rPr>
              <w:t>高亮度白光半导体光源（工作寿命＞</w:t>
            </w:r>
            <w:r>
              <w:rPr>
                <w:sz w:val="24"/>
                <w:szCs w:val="24"/>
              </w:rPr>
              <w:t>5年）</w:t>
            </w:r>
            <w:r>
              <w:rPr>
                <w:rFonts w:hint="eastAsia"/>
                <w:sz w:val="24"/>
                <w:szCs w:val="24"/>
              </w:rPr>
              <w:t>，避免</w:t>
            </w:r>
            <w:r>
              <w:rPr>
                <w:sz w:val="24"/>
                <w:szCs w:val="24"/>
              </w:rPr>
              <w:t>LED等低功率和低流明光源</w:t>
            </w:r>
            <w:r>
              <w:rPr>
                <w:rFonts w:hint="eastAsia"/>
                <w:sz w:val="24"/>
                <w:szCs w:val="24"/>
              </w:rPr>
              <w:t>；超级CMOS</w:t>
            </w:r>
            <w:r>
              <w:rPr>
                <w:sz w:val="24"/>
                <w:szCs w:val="24"/>
              </w:rPr>
              <w:t>成像，每个循环保证孔板一次性成像检测，避免PDT或PMT检测器，每个循环孔逐孔扫描检测荧光衰减带来的误差。</w:t>
            </w:r>
            <w:bookmarkStart w:id="1" w:name="_Hlk527983053"/>
          </w:p>
          <w:bookmarkEnd w:id="1"/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11.被动参照染料：</w:t>
            </w:r>
            <w:r>
              <w:rPr>
                <w:rFonts w:hint="eastAsia"/>
                <w:sz w:val="24"/>
                <w:szCs w:val="24"/>
              </w:rPr>
              <w:t>软件须支持类似</w:t>
            </w:r>
            <w:r>
              <w:rPr>
                <w:sz w:val="24"/>
                <w:szCs w:val="24"/>
              </w:rPr>
              <w:t>ROX校准的被动染料校准校正功能，能有效校正孔与孔之间的误差、加样时的误差，样品蒸发的误差，须说明校正原理，否则视为不满足。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12.染料校准：出厂前已进行校准，安装后无需校准。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支持的荧光染料：包括但不限于</w:t>
            </w:r>
            <w:r>
              <w:rPr>
                <w:sz w:val="24"/>
                <w:szCs w:val="24"/>
              </w:rPr>
              <w:t>FAM™/SYBR™ Green, VIC™/JOE™/HEX™/TET™, ABY™/NED™/TAMRA™/Cy™3, JUN™, ROX™/Texas Red™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Mustang        Purple™, Cy™5/LIZ, Cy™5.5dye</w:t>
            </w:r>
            <w:r>
              <w:rPr>
                <w:rFonts w:hint="eastAsia"/>
                <w:sz w:val="24"/>
                <w:szCs w:val="24"/>
              </w:rPr>
              <w:t>，要求必须能进行F</w:t>
            </w:r>
            <w:r>
              <w:rPr>
                <w:sz w:val="24"/>
                <w:szCs w:val="24"/>
              </w:rPr>
              <w:t>AM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VIC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TAMRA</w:t>
            </w:r>
            <w:r>
              <w:rPr>
                <w:rFonts w:hint="eastAsia"/>
                <w:sz w:val="24"/>
                <w:szCs w:val="24"/>
              </w:rPr>
              <w:t>的三重染色</w:t>
            </w:r>
            <w:r>
              <w:rPr>
                <w:sz w:val="24"/>
                <w:szCs w:val="24"/>
              </w:rPr>
              <w:t>，以用于基因拷贝数(CNV)检测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14.数据通信接口：USB，Wi-Fi，或云服务平台；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15.单机运行模式：可连接或不连接电脑，直接定义运行程序，并储存数据结果。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16.自带存储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10GB(相当于2000-2500运行文件)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17.内置</w:t>
            </w:r>
            <w:r>
              <w:rPr>
                <w:rFonts w:hint="eastAsia"/>
                <w:sz w:val="24"/>
                <w:szCs w:val="24"/>
              </w:rPr>
              <w:t>智能电脑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仪器内置智能电脑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智能电脑要求电容屏，支持多点触控，可通过触摸屏直接进行实验条件的设置，不接受电阻屏等需要手写笔操作的设计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支持双系统处理，实验和数据可分开操作。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18.</w:t>
            </w:r>
            <w:bookmarkStart w:id="2" w:name="_Hlk527982706"/>
            <w:r>
              <w:rPr>
                <w:sz w:val="24"/>
                <w:szCs w:val="24"/>
              </w:rPr>
              <w:t>远程监控和e-mail通知：允许用户通过远程网络或是局域网，实时监控反应进程，并且在仪器启动和运行结束的时候，可以发e-mail通知实验者</w:t>
            </w:r>
            <w:r>
              <w:rPr>
                <w:rFonts w:hint="eastAsia"/>
                <w:sz w:val="24"/>
                <w:szCs w:val="24"/>
              </w:rPr>
              <w:t>，实验结束时可将实验数据通过</w:t>
            </w:r>
            <w:r>
              <w:rPr>
                <w:sz w:val="24"/>
                <w:szCs w:val="24"/>
              </w:rPr>
              <w:t>e-mail发送给实验者。</w:t>
            </w:r>
            <w:bookmarkEnd w:id="2"/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云服务平台：实验数据有原厂同品牌云服务平台保护数据</w:t>
            </w:r>
            <w:bookmarkStart w:id="3" w:name="OLE_LINK10"/>
            <w:bookmarkStart w:id="4" w:name="OLE_LINK16"/>
            <w:bookmarkStart w:id="5" w:name="OLE_LINK9"/>
            <w:bookmarkStart w:id="6" w:name="OLE_LINK8"/>
            <w:bookmarkStart w:id="7" w:name="OLE_LINK7"/>
            <w:r>
              <w:rPr>
                <w:rFonts w:hint="eastAsia"/>
                <w:sz w:val="24"/>
                <w:szCs w:val="24"/>
              </w:rPr>
              <w:t>，保证实验数据的安全性</w:t>
            </w:r>
            <w:bookmarkEnd w:id="3"/>
            <w:bookmarkEnd w:id="4"/>
            <w:bookmarkEnd w:id="5"/>
            <w:r>
              <w:rPr>
                <w:rFonts w:hint="eastAsia"/>
                <w:sz w:val="24"/>
                <w:szCs w:val="24"/>
              </w:rPr>
              <w:t>，同时云服务平台须具有数据分析功能。</w:t>
            </w:r>
            <w:bookmarkEnd w:id="6"/>
            <w:bookmarkEnd w:id="7"/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20.动态范围：10个对数的线性动态范围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21.精密度：在99.7%的置信度下，有效区分1.5</w:t>
            </w:r>
            <w:r>
              <w:rPr>
                <w:rFonts w:hint="eastAsia"/>
                <w:sz w:val="24"/>
                <w:szCs w:val="24"/>
              </w:rPr>
              <w:t>倍</w:t>
            </w:r>
            <w:r>
              <w:rPr>
                <w:sz w:val="24"/>
                <w:szCs w:val="24"/>
              </w:rPr>
              <w:t>的模板差异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22.运行时间：</w:t>
            </w:r>
            <w:r>
              <w:rPr>
                <w:rFonts w:hint="eastAsia"/>
                <w:sz w:val="24"/>
                <w:szCs w:val="24"/>
              </w:rPr>
              <w:t>＜3</w:t>
            </w:r>
            <w:r>
              <w:rPr>
                <w:sz w:val="24"/>
                <w:szCs w:val="24"/>
              </w:rPr>
              <w:t>0 min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23.有CFDA证，为保证售后服务的可靠性，需提供针对本项目的生产厂家提供的售后服务承诺书及授权书。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24.机型：台式机      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配置：4th Gen Intel Core I7-4770S Processor (Quad Core HT, 3.10GHz Turbo, 8MB, w/ HD Graphics 4600)  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DVD-RW Drive: 16X Half Height DVD+/-RW Drive 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软件：Win10英文版</w:t>
            </w:r>
          </w:p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条款是必须满足的条件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70B18"/>
    <w:rsid w:val="001E7A8E"/>
    <w:rsid w:val="00281B95"/>
    <w:rsid w:val="002B0DEC"/>
    <w:rsid w:val="002B1742"/>
    <w:rsid w:val="003D5C07"/>
    <w:rsid w:val="004558A9"/>
    <w:rsid w:val="00473BAB"/>
    <w:rsid w:val="00513BB8"/>
    <w:rsid w:val="006029F9"/>
    <w:rsid w:val="006702E0"/>
    <w:rsid w:val="008241D2"/>
    <w:rsid w:val="00885265"/>
    <w:rsid w:val="00964B49"/>
    <w:rsid w:val="00AB452B"/>
    <w:rsid w:val="00BD759B"/>
    <w:rsid w:val="00C16C8C"/>
    <w:rsid w:val="00C664D0"/>
    <w:rsid w:val="00D47B40"/>
    <w:rsid w:val="00F514A9"/>
    <w:rsid w:val="00F61322"/>
    <w:rsid w:val="00FC5F70"/>
    <w:rsid w:val="0414419E"/>
    <w:rsid w:val="05285F0E"/>
    <w:rsid w:val="075F7C07"/>
    <w:rsid w:val="0A524238"/>
    <w:rsid w:val="176C74C3"/>
    <w:rsid w:val="19944B84"/>
    <w:rsid w:val="19B809C4"/>
    <w:rsid w:val="224C52E7"/>
    <w:rsid w:val="253E6198"/>
    <w:rsid w:val="299343DD"/>
    <w:rsid w:val="2BD368BF"/>
    <w:rsid w:val="2FDF54FB"/>
    <w:rsid w:val="33470B18"/>
    <w:rsid w:val="376E1C4E"/>
    <w:rsid w:val="37E1360A"/>
    <w:rsid w:val="3A7E4259"/>
    <w:rsid w:val="40EC4DEB"/>
    <w:rsid w:val="478D40A6"/>
    <w:rsid w:val="4D4B6B2D"/>
    <w:rsid w:val="55CF77E2"/>
    <w:rsid w:val="59922F32"/>
    <w:rsid w:val="5A9D7EA1"/>
    <w:rsid w:val="5C504D0A"/>
    <w:rsid w:val="5CFB432C"/>
    <w:rsid w:val="62DF1DBB"/>
    <w:rsid w:val="64FE357E"/>
    <w:rsid w:val="66075DDD"/>
    <w:rsid w:val="69E029DF"/>
    <w:rsid w:val="6EAE5054"/>
    <w:rsid w:val="756B224C"/>
    <w:rsid w:val="796C56D9"/>
    <w:rsid w:val="79F92075"/>
    <w:rsid w:val="7C9216ED"/>
    <w:rsid w:val="7D6620CD"/>
    <w:rsid w:val="7E486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楷体_GB2312" w:hAnsi="Arial" w:eastAsia="楷体_GB2312"/>
      <w:kern w:val="0"/>
      <w:sz w:val="28"/>
    </w:rPr>
  </w:style>
  <w:style w:type="paragraph" w:styleId="3">
    <w:name w:val="Block Text"/>
    <w:basedOn w:val="1"/>
    <w:qFormat/>
    <w:uiPriority w:val="0"/>
    <w:pPr>
      <w:spacing w:after="100"/>
      <w:ind w:left="3600" w:right="-288" w:hanging="2880"/>
    </w:pPr>
    <w:rPr>
      <w:snapToGrid w:val="0"/>
      <w:kern w:val="0"/>
      <w:sz w:val="22"/>
      <w:lang w:eastAsia="en-US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正文文本 Char"/>
    <w:link w:val="2"/>
    <w:qFormat/>
    <w:uiPriority w:val="0"/>
    <w:rPr>
      <w:rFonts w:ascii="楷体_GB2312" w:hAnsi="Arial" w:eastAsia="楷体_GB2312" w:cs="Times New Roman"/>
      <w:sz w:val="28"/>
    </w:rPr>
  </w:style>
  <w:style w:type="character" w:customStyle="1" w:styleId="11">
    <w:name w:val="正文文本 Char1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2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2018-09-16T13:07:00Z</dcterms:created>
  <dc:creator>67427</dc:creator>
  <cp:lastModifiedBy>YGK</cp:lastModifiedBy>
  <dcterms:modified xsi:type="dcterms:W3CDTF">2020-05-20T02:02:40Z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